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360"/>
        <w:jc w:val="center"/>
        <w:rPr>
          <w:rFonts w:ascii="Palatino Linotype" w:hAnsi="Palatino Linotype" w:cs="Palatino Linotype"/>
          <w:sz w:val="20"/>
          <w:szCs w:val="20"/>
          <w:u w:val="single"/>
          <w:lang w:eastAsia="ar-SA"/>
        </w:rPr>
      </w:pPr>
      <w:r>
        <w:rPr>
          <w:rFonts w:cs="Palatino Linotype" w:ascii="Palatino Linotype" w:hAnsi="Palatino Linotype"/>
          <w:sz w:val="20"/>
          <w:szCs w:val="20"/>
          <w:u w:val="single"/>
          <w:lang w:eastAsia="ar-SA"/>
        </w:rPr>
      </w:r>
    </w:p>
    <w:p>
      <w:pPr>
        <w:pStyle w:val="Normal"/>
        <w:spacing w:before="0" w:after="240"/>
        <w:jc w:val="center"/>
        <w:rPr>
          <w:rFonts w:ascii="Palatino Linotype" w:hAnsi="Palatino Linotype" w:cs="Palatino Linotype"/>
          <w:b/>
          <w:b/>
          <w:sz w:val="20"/>
          <w:szCs w:val="20"/>
          <w:lang w:eastAsia="ar-SA"/>
        </w:rPr>
      </w:pPr>
      <w:r>
        <w:rPr>
          <w:rFonts w:cs="Palatino Linotype" w:ascii="Palatino Linotype" w:hAnsi="Palatino Linotype"/>
          <w:b/>
          <w:sz w:val="20"/>
          <w:szCs w:val="20"/>
          <w:lang w:eastAsia="ar-SA"/>
        </w:rPr>
        <w:t>PROJETO BÁSICO</w:t>
      </w:r>
    </w:p>
    <w:p>
      <w:pPr>
        <w:pStyle w:val="Normal"/>
        <w:spacing w:before="0" w:after="360"/>
        <w:jc w:val="center"/>
        <w:rPr>
          <w:rFonts w:ascii="Palatino Linotype" w:hAnsi="Palatino Linotype" w:cs="Palatino Linotype"/>
          <w:sz w:val="20"/>
          <w:szCs w:val="20"/>
          <w:lang w:eastAsia="ar-SA"/>
        </w:rPr>
      </w:pPr>
      <w:r>
        <w:rPr>
          <w:rFonts w:cs="Palatino Linotype" w:ascii="Palatino Linotype" w:hAnsi="Palatino Linotype"/>
          <w:sz w:val="20"/>
          <w:szCs w:val="20"/>
          <w:lang w:eastAsia="ar-SA"/>
        </w:rPr>
        <w:t>(OBRA DE ENGENHARIA)</w:t>
      </w:r>
    </w:p>
    <w:p>
      <w:pPr>
        <w:pStyle w:val="Normal"/>
        <w:spacing w:before="0" w:after="360"/>
        <w:jc w:val="center"/>
        <w:rPr>
          <w:rFonts w:ascii="Palatino Linotype" w:hAnsi="Palatino Linotype" w:cs="Palatino Linotype"/>
          <w:b/>
          <w:b/>
          <w:sz w:val="20"/>
          <w:szCs w:val="20"/>
          <w:lang w:eastAsia="ar-SA"/>
        </w:rPr>
      </w:pPr>
      <w:r>
        <w:rPr>
          <w:rFonts w:cs="Palatino Linotype" w:ascii="Palatino Linotype" w:hAnsi="Palatino Linotype"/>
          <w:b/>
          <w:sz w:val="20"/>
          <w:szCs w:val="20"/>
          <w:lang w:eastAsia="ar-SA"/>
        </w:rPr>
      </w:r>
    </w:p>
    <w:p>
      <w:pPr>
        <w:pStyle w:val="Normal"/>
        <w:numPr>
          <w:ilvl w:val="0"/>
          <w:numId w:val="2"/>
        </w:numPr>
        <w:spacing w:before="0" w:after="360"/>
        <w:jc w:val="both"/>
        <w:rPr/>
      </w:pPr>
      <w:r>
        <w:rPr>
          <w:rFonts w:cs="Palatino Linotype" w:ascii="Palatino Linotype" w:hAnsi="Palatino Linotype"/>
          <w:b/>
          <w:sz w:val="20"/>
          <w:szCs w:val="20"/>
          <w:u w:val="single"/>
          <w:lang w:bidi="zxx"/>
        </w:rPr>
        <w:t>OBJETO</w:t>
      </w:r>
    </w:p>
    <w:p>
      <w:pPr>
        <w:pStyle w:val="Normal"/>
        <w:widowControl w:val="false"/>
        <w:numPr>
          <w:ilvl w:val="1"/>
          <w:numId w:val="2"/>
        </w:numPr>
        <w:suppressAutoHyphens w:val="true"/>
        <w:spacing w:before="0" w:after="360"/>
        <w:jc w:val="both"/>
        <w:rPr/>
      </w:pPr>
      <w:r>
        <w:rPr>
          <w:rFonts w:cs="Palatino Linotype" w:ascii="Palatino Linotype" w:hAnsi="Palatino Linotype"/>
          <w:sz w:val="20"/>
          <w:szCs w:val="20"/>
        </w:rPr>
        <w:t xml:space="preserve">Contratação de </w:t>
      </w:r>
      <w:r>
        <w:rPr>
          <w:rFonts w:eastAsia="Arial Unicode MS" w:cs="Palatino Linotype" w:ascii="Palatino Linotype" w:hAnsi="Palatino Linotype"/>
          <w:sz w:val="20"/>
          <w:szCs w:val="20"/>
          <w:lang w:eastAsia="zxx"/>
        </w:rPr>
        <w:t>empresa especializada para execução das obras de Construção do Sistema de Esgotamento Sanitário da Bacia do Riacho Piauí, no Município de Arapiraca/AL</w:t>
      </w:r>
      <w:r>
        <w:rPr>
          <w:rFonts w:cs="Palatino Linotype" w:ascii="Palatino Linotype" w:hAnsi="Palatino Linotype"/>
          <w:sz w:val="20"/>
          <w:szCs w:val="20"/>
        </w:rPr>
        <w:t>, conforme condições, quantidades e exigências estabelecidas neste instrumento.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VISTORIA</w:t>
      </w:r>
    </w:p>
    <w:p>
      <w:pPr>
        <w:pStyle w:val="Normal"/>
        <w:widowControl w:val="false"/>
        <w:numPr>
          <w:ilvl w:val="1"/>
          <w:numId w:val="2"/>
        </w:numPr>
        <w:suppressAutoHyphens w:val="true"/>
        <w:spacing w:before="0" w:after="360"/>
        <w:jc w:val="both"/>
        <w:rPr>
          <w:rFonts w:ascii="Palatino Linotype" w:hAnsi="Palatino Linotype" w:cs="Palatino Linotype"/>
          <w:sz w:val="20"/>
          <w:szCs w:val="20"/>
        </w:rPr>
      </w:pPr>
      <w:r>
        <w:rPr>
          <w:rFonts w:cs="Palatino Linotype" w:ascii="Palatino Linotype" w:hAnsi="Palatino Linotype"/>
          <w:sz w:val="20"/>
          <w:szCs w:val="20"/>
        </w:rPr>
        <w:t>A realização de vistoria é facultativa, observados os regramentos previstos no Edital.</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EXECUÇÃO DOS SERVIÇOS E SEU RECEBIMENTO</w:t>
      </w:r>
    </w:p>
    <w:p>
      <w:pPr>
        <w:pStyle w:val="Normal"/>
        <w:numPr>
          <w:ilvl w:val="1"/>
          <w:numId w:val="2"/>
        </w:numPr>
        <w:spacing w:before="0" w:after="360"/>
        <w:jc w:val="both"/>
        <w:rPr/>
      </w:pPr>
      <w:r>
        <w:rPr>
          <w:rFonts w:cs="Palatino Linotype" w:ascii="Palatino Linotype" w:hAnsi="Palatino Linotype"/>
          <w:iCs/>
          <w:color w:val="000000"/>
          <w:sz w:val="20"/>
          <w:szCs w:val="20"/>
        </w:rPr>
        <w:t>A execução dos serviços será iniciada após o recebimento da Ordem de Serviços pela Contratada, cujas etapas observarão o cronograma constante em anexo a este instrumento;</w:t>
      </w:r>
    </w:p>
    <w:p>
      <w:pPr>
        <w:pStyle w:val="Normal"/>
        <w:numPr>
          <w:ilvl w:val="1"/>
          <w:numId w:val="2"/>
        </w:numPr>
        <w:spacing w:before="0" w:after="360"/>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Quando os serviços contratados forem concluídos, caberá à Contratada apresentar comunicação escrita informando o fato à fiscalização da Contratante, a qual competirá, no prazo de até 10 (dez) dias, a verificação dos serviços executados, para fins de recebimento provisório;</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O recebimento provisório também ficará sujeito, quando cabível, à conclusão de todos os testes de campo e à entrega dos Manuais e Instruções exigíveis;</w:t>
      </w:r>
    </w:p>
    <w:p>
      <w:pPr>
        <w:pStyle w:val="Normal"/>
        <w:numPr>
          <w:ilvl w:val="1"/>
          <w:numId w:val="2"/>
        </w:numPr>
        <w:spacing w:before="0" w:after="360"/>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A Contratante realizará inspeção minuciosa de todos os serviços executados, por meio de profissionais técnicos competentes, acompanhados dos profissionais encarregados pela obra, com a finalidade de verificar a adequação dos serviços e constatar e relacionar os arremates, retoques e revisões finais que se fizerem necessários;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Após tal inspeção, será lavrado Termo de Recebimento Provisório, em 02 (duas) vias de igual teor e forma, ambas assinadas pela comissão de recebimento, relatando as eventuais pendências verificadas;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pPr>
        <w:pStyle w:val="Normal"/>
        <w:numPr>
          <w:ilvl w:val="1"/>
          <w:numId w:val="2"/>
        </w:numPr>
        <w:spacing w:before="0" w:after="360"/>
        <w:jc w:val="both"/>
        <w:rPr>
          <w:rFonts w:ascii="Palatino Linotype" w:hAnsi="Palatino Linotype" w:cs="Palatino Linotype"/>
          <w:iCs/>
          <w:color w:val="000000"/>
          <w:sz w:val="20"/>
          <w:szCs w:val="20"/>
        </w:rPr>
      </w:pPr>
      <w:r>
        <w:rPr>
          <w:rFonts w:cs="Palatino Linotype" w:ascii="Palatino Linotype" w:hAnsi="Palatino Linotype"/>
          <w:iCs/>
          <w:color w:val="000000"/>
          <w:sz w:val="20"/>
          <w:szCs w:val="20"/>
        </w:rPr>
        <w:t>O Termo de Recebimento Definitivo dos serviços contratados será lavrado em até 90 (noventa.) dias após a lavratura do Termo de Recebimento Provisório,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pPr>
        <w:pStyle w:val="Normal"/>
        <w:numPr>
          <w:ilvl w:val="2"/>
          <w:numId w:val="2"/>
        </w:numPr>
        <w:spacing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Na hipótese de a verificação a que se refere o parágrafo anterior não ser procedida tempestivamente, reputar-se-á como realizada, consumando-se o recebimento definitivo no dia do esgotamento do prazo, desde que o fato seja comunicado à Contratante nos 15 (quinze) dias anteriores à exaustão do prazo;</w:t>
      </w:r>
    </w:p>
    <w:p>
      <w:pPr>
        <w:pStyle w:val="Normal"/>
        <w:numPr>
          <w:ilvl w:val="2"/>
          <w:numId w:val="2"/>
        </w:numPr>
        <w:spacing w:before="0" w:after="360"/>
        <w:ind w:left="567" w:right="0" w:hanging="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O recebimento definitivo do objeto licitado não exime a Contratada, em qualquer época, das garantias concedidas e das responsabilidades assumidas em contrato e por força das disposições legais em vigor (Lei n° 10.406, de 2002);</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CONTRATANTE</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o cumprimento de todas as obrigações assumidas pela Contratada, de acordo com as cláusulas contratuais e os termos de sua proposta;</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Pagar à Contratada o valor resultante da prestação do serviço, conforme cronograma físico-financeiro ou disponibilidade financeira administrativa;</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Efetuar as retenções tributárias devidas sobre o valor da fatura de serviços da Contratada, em conformidade com a legislação em vigor;</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Fornecer por escrito as informações necessárias para o desenvolvimento dos serviços objeto do contrato;</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Realizar avaliações periódicas da qualidade dos serviços, após seu recebimento;</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Cientificar o órgão de representação judicial da Administração para adoção das medidas cabíveis quando do descumprimento das obrigações pela Contratada;</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Arquivamento, entre outros documentos, de projetos, "as built", especificações técnicas, orçamentos, termos de recebimento, contratos e aditamentos, relatórios de inspeções técnicas após o recebimento do serviço e notificações expedidas;</w:t>
      </w:r>
    </w:p>
    <w:p>
      <w:pPr>
        <w:pStyle w:val="Normal"/>
        <w:numPr>
          <w:ilvl w:val="1"/>
          <w:numId w:val="2"/>
        </w:numPr>
        <w:spacing w:before="0" w:after="360"/>
        <w:jc w:val="both"/>
        <w:rPr>
          <w:rFonts w:ascii="Palatino Linotype" w:hAnsi="Palatino Linotype" w:cs="Palatino Linotype"/>
          <w:sz w:val="20"/>
          <w:szCs w:val="20"/>
          <w:lang w:eastAsia="ar-SA"/>
        </w:rPr>
      </w:pPr>
      <w:r>
        <w:rPr>
          <w:rFonts w:cs="Palatino Linotype" w:ascii="Palatino Linotype" w:hAnsi="Palatino Linotype"/>
          <w:sz w:val="20"/>
          <w:szCs w:val="20"/>
          <w:lang w:eastAsia="ar-SA"/>
        </w:rPr>
        <w:t>Exigir da Contratada que providencie a seguinte documentação como condição indispensável para o recebimento definitivo de objeto, quando for o caso:</w:t>
      </w:r>
    </w:p>
    <w:p>
      <w:pPr>
        <w:pStyle w:val="Normal"/>
        <w:numPr>
          <w:ilvl w:val="2"/>
          <w:numId w:val="2"/>
        </w:numPr>
        <w:spacing w:before="0" w:after="360"/>
        <w:ind w:left="567" w:right="0" w:hanging="0"/>
        <w:jc w:val="both"/>
        <w:rPr/>
      </w:pPr>
      <w:r>
        <w:rPr>
          <w:rFonts w:cs="Palatino Linotype" w:ascii="Palatino Linotype" w:hAnsi="Palatino Linotype"/>
          <w:sz w:val="20"/>
          <w:szCs w:val="20"/>
        </w:rPr>
        <w:t>"</w:t>
      </w:r>
      <w:r>
        <w:rPr>
          <w:rFonts w:cs="Palatino Linotype" w:ascii="Palatino Linotype" w:hAnsi="Palatino Linotype"/>
          <w:i/>
          <w:sz w:val="20"/>
          <w:szCs w:val="20"/>
        </w:rPr>
        <w:t>as built</w:t>
      </w:r>
      <w:r>
        <w:rPr>
          <w:rFonts w:cs="Palatino Linotype" w:ascii="Palatino Linotype" w:hAnsi="Palatino Linotype"/>
          <w:sz w:val="20"/>
          <w:szCs w:val="20"/>
        </w:rPr>
        <w:t>", elaborado pelo responsável por sua execução;</w:t>
      </w:r>
    </w:p>
    <w:p>
      <w:pPr>
        <w:pStyle w:val="Normal"/>
        <w:numPr>
          <w:ilvl w:val="2"/>
          <w:numId w:val="2"/>
        </w:numPr>
        <w:spacing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comprovação das ligações definitivas de energia, água, telefone e gás;</w:t>
      </w:r>
    </w:p>
    <w:p>
      <w:pPr>
        <w:pStyle w:val="Normal"/>
        <w:numPr>
          <w:ilvl w:val="2"/>
          <w:numId w:val="2"/>
        </w:numPr>
        <w:spacing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laudo de vistoria do corpo de bombeiros aprovando o serviço;</w:t>
      </w:r>
    </w:p>
    <w:p>
      <w:pPr>
        <w:pStyle w:val="Normal"/>
        <w:numPr>
          <w:ilvl w:val="2"/>
          <w:numId w:val="2"/>
        </w:numPr>
        <w:spacing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carta "habite-se", emitida pela prefeitura;</w:t>
      </w:r>
    </w:p>
    <w:p>
      <w:pPr>
        <w:pStyle w:val="Normal"/>
        <w:numPr>
          <w:ilvl w:val="2"/>
          <w:numId w:val="2"/>
        </w:numPr>
        <w:spacing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certidão negativa de débitos previdenciários específica para o registro da obra junto ao Cartório de Registro de Imóveis;</w:t>
      </w:r>
    </w:p>
    <w:p>
      <w:pPr>
        <w:pStyle w:val="Normal"/>
        <w:numPr>
          <w:ilvl w:val="2"/>
          <w:numId w:val="2"/>
        </w:numPr>
        <w:spacing w:before="0" w:after="360"/>
        <w:ind w:left="567" w:right="0" w:hanging="0"/>
        <w:jc w:val="both"/>
        <w:rPr>
          <w:rFonts w:ascii="Palatino Linotype" w:hAnsi="Palatino Linotype" w:cs="Palatino Linotype"/>
          <w:sz w:val="20"/>
          <w:szCs w:val="20"/>
        </w:rPr>
      </w:pPr>
      <w:r>
        <w:rPr>
          <w:rFonts w:cs="Palatino Linotype" w:ascii="Palatino Linotype" w:hAnsi="Palatino Linotype"/>
          <w:sz w:val="20"/>
          <w:szCs w:val="20"/>
        </w:rPr>
        <w:t>a reparação dos vícios verificados dentro do prazo de garantia do serviço, tendo em vista o direito assegurado à Contratante no art. 69 da Lei nº 8.666/93 e no art. 12 da Lei nº 8.078/90 (Código de Defesa do Consumidor).</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OBRIGAÇÕES DA CONTRATADA</w:t>
      </w:r>
    </w:p>
    <w:p>
      <w:pPr>
        <w:pStyle w:val="Normal"/>
        <w:numPr>
          <w:ilvl w:val="1"/>
          <w:numId w:val="2"/>
        </w:numPr>
        <w:spacing w:before="0" w:after="360"/>
        <w:jc w:val="both"/>
        <w:rPr/>
      </w:pPr>
      <w:r>
        <w:rPr>
          <w:rFonts w:cs="Palatino Linotype" w:ascii="Palatino Linotype" w:hAnsi="Palatino Linotype"/>
          <w:color w:val="000000"/>
          <w:sz w:val="20"/>
          <w:szCs w:val="20"/>
        </w:rPr>
        <w:t xml:space="preserve">Executar os serviços conforme especificações deste Projeto Básico e de sua proposta, com a alocação dos empregados necessários ao perfeito cumprimento das cláusulas contratuais, </w:t>
      </w:r>
      <w:r>
        <w:rPr>
          <w:rFonts w:cs="Palatino Linotype" w:ascii="Palatino Linotype" w:hAnsi="Palatino Linotype"/>
          <w:sz w:val="20"/>
        </w:rPr>
        <w:t>além de fornecer e utilizar os materiais e equipamentos, ferramentas e utensílios necessários, na qualidade e quantidade mínimas especificadas neste instrumento e em sua proposta</w:t>
      </w:r>
      <w:r>
        <w:rPr>
          <w:rFonts w:cs="Palatino Linotype" w:ascii="Palatino Linotype" w:hAnsi="Palatino Linotype"/>
          <w:color w:val="000000"/>
          <w:sz w:val="20"/>
          <w:szCs w:val="20"/>
        </w:rPr>
        <w:t>;</w:t>
      </w:r>
    </w:p>
    <w:p>
      <w:pPr>
        <w:pStyle w:val="Normal"/>
        <w:numPr>
          <w:ilvl w:val="1"/>
          <w:numId w:val="2"/>
        </w:numPr>
        <w:spacing w:before="0" w:after="360"/>
        <w:jc w:val="both"/>
        <w:rPr>
          <w:rFonts w:ascii="Palatino Linotype" w:hAnsi="Palatino Linotype" w:cs="Palatino Linotype"/>
          <w:sz w:val="20"/>
          <w:szCs w:val="20"/>
        </w:rPr>
      </w:pPr>
      <w:r>
        <w:rPr>
          <w:rFonts w:cs="Palatino Linotype" w:ascii="Palatino Linotype" w:hAnsi="Palatino Linotype"/>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numPr>
          <w:ilvl w:val="1"/>
          <w:numId w:val="2"/>
        </w:numPr>
        <w:spacing w:before="0" w:after="360"/>
        <w:jc w:val="both"/>
        <w:rPr>
          <w:rFonts w:ascii="Palatino Linotype" w:hAnsi="Palatino Linotype" w:cs="Palatino Linotype"/>
          <w:sz w:val="20"/>
          <w:szCs w:val="20"/>
        </w:rPr>
      </w:pPr>
      <w:r>
        <w:rPr>
          <w:rFonts w:cs="Palatino Linotype" w:ascii="Palatino Linotype" w:hAnsi="Palatino Linotype"/>
          <w:sz w:val="20"/>
          <w:szCs w:val="20"/>
        </w:rPr>
        <w:t>Manter os empregados nos horários predeterminados pela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Utilizar empregados habilitados e com conhecimentos básicos dos serviços a serem executados, em conformidade com as normas e determinações em vigor;</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os empregados devidamente identificados por meio de crachá, além de provê-los com os Equipamentos de Proteção Individual - EPI;</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à Contratante, quando for o caso, a relação nominal dos empregados que adentrarão no órgão para a execução do serviço;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Responsabilizar-se por todas as obrigações trabalhistas, sociais, previdenciárias, tributárias e as demais previstas na legislação específica, cuja inadimplência não transfere responsabilidade à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Apresentar, quando solicitado pela Administração, atestado de antecedentes criminais e distribuição cível de toda a mão de obra oferecida para atuar nas instalações do órgão;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instrumento;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quanto à necessidade de acatar as Normas Internas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seus empregados a respeito das atividades a serem desempenhadas, alertando-os a não executarem atividades não abrangidas pelo contrato, devendo a Contratada relatar à Contratante toda e qualquer ocorrência neste sentido, a fim de evitar desvio de função;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Relatar à Contratante toda e qualquer irregularidade verificada no decorrer da prestação dos serviços;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Não permitir a utilização de qualquer trabalho de menor de dezesseis anos, exceto na condição de aprendiz para os maiores de quatorze anos; nem permitir a utilização do trabalho do menor de dezoito anos em trabalho noturno, perigoso ou insalubre;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durante toda a vigência do contrato, em compatibilidade com as obrigações assumidas, todas as condições de habilitação e qualificação exigidas na licitação;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Guardar sigilo sobre todas as informações obtidas em decorrência do cumprimento do contrato;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Manter preposto aceito pela Contratante nos horários e locais de prestação de serviço para representá-la na execução do contrato com capacidade para tomar decisões compatíveis com os compromissos assumidos;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Cumprir, além dos postulados legais vigentes de âmbito federal, estadual ou municipal, as normas de segurança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Instruir os seus empregados, quanto à prevenção de incêndios nas áreas da Contratante;</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Comunicar ao Fiscal do contrato, no prazo de 24 (vinte e quatro) horas, qualquer ocorrência anormal ou acidente que se verifique no local dos serviços;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Prestar todo esclarecimento ou informação solicitada pela Contratante ou por seus prepostos, garantindo-lhes o acesso, a qualquer tempo, ao local dos trabalhos, bem como aos documentos relativos à execução do empreendimento;</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Paralisar, por determinação da Contratante, qualquer atividade que não esteja sendo executada de acordo com a boa técnica ou que ponha em risco a segurança de pessoas ou bens de terceiros;</w:t>
      </w:r>
    </w:p>
    <w:p>
      <w:pPr>
        <w:pStyle w:val="Normal"/>
        <w:numPr>
          <w:ilvl w:val="1"/>
          <w:numId w:val="2"/>
        </w:numPr>
        <w:spacing w:before="0" w:after="360"/>
        <w:jc w:val="both"/>
        <w:rPr>
          <w:rFonts w:ascii="Palatino Linotype" w:hAnsi="Palatino Linotype" w:cs="Palatino Linotype"/>
          <w:color w:val="000000"/>
          <w:sz w:val="20"/>
          <w:szCs w:val="20"/>
        </w:rPr>
      </w:pPr>
      <w:r>
        <w:rPr>
          <w:rFonts w:cs="Palatino Linotype" w:ascii="Palatino Linotype" w:hAnsi="Palatino Linotype"/>
          <w:color w:val="000000"/>
          <w:sz w:val="20"/>
          <w:szCs w:val="20"/>
        </w:rPr>
        <w:t>Adotar as providências e precauções necessárias, inclusive consulta nos respectivos órgãos, se necessário for, a fim de que não venham a ser danificadas as redes hidrossanitárias, elétricas e de comunicação;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Promover a guarda, manutenção e vigilância de materiais, ferramentas, e tudo o que for necessário à execução dos serviços, durante a vigência do contrato;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Providenciar junto ao CREA e/ou ao CAU-BR as Anotações e Registros de Responsabilidade Técnica referentes ao objeto do contrato e especialidades pertinentes, nos termos das normas pertinentes (Leis nºs 6.496/77 e 12.378/2010);</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Obter junto ao Município, conforme o caso, as licenças necessárias e demais documentos e autorizações exigíveis, na forma da legislação aplicável;</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Ceder os direitos patrimoniais relativos ao projeto ou serviço técnico especializado, para que a Administração possa utilizá-lo de acordo com o previsto neste Projeto Básico e seus anexos, conforme artigo 111 da Lei n°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Assegurar à CONTRATANTE:</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Promover a organização técnica e administrativa dos serviços, de modo a conduzi-los eficaz e eficientemente, de acordo com os documentos e especificações que integram este Projeto Básico, no prazo determinado;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Submeter previamente, por escrito, à Contratante, para análise e aprovação, quaisquer mudanças nos métodos executivos que fujam às especificações do memorial descritivo;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 ou a qualquer tempo se constatado pelo fiscal da Contratante;</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Comprovar a procedência legal dos produtos ou subprodutos florestais utilizados em cada etapa da execução contratual, por ocasião da respectiva medição, mediante a apresentação dos seguintes documentos, conforme o caso:</w:t>
      </w:r>
    </w:p>
    <w:p>
      <w:pPr>
        <w:pStyle w:val="Normal"/>
        <w:numPr>
          <w:ilvl w:val="2"/>
          <w:numId w:val="2"/>
        </w:numPr>
        <w:spacing w:before="0" w:after="360"/>
        <w:ind w:left="567" w:right="0" w:hanging="0"/>
        <w:jc w:val="both"/>
        <w:rPr>
          <w:rFonts w:ascii="Palatino Linotype" w:hAnsi="Palatino Linotype" w:cs="Palatino Linotype"/>
          <w:sz w:val="20"/>
        </w:rPr>
      </w:pPr>
      <w:bookmarkStart w:id="0" w:name="_Hlk491881345"/>
      <w:r>
        <w:rPr>
          <w:rFonts w:cs="Palatino Linotype" w:ascii="Palatino Linotype" w:hAnsi="Palatino Linotype"/>
          <w:sz w:val="20"/>
        </w:rPr>
        <w:t>Cópias autenticadas das notas fiscais de aquisição dos produtos ou subprodutos florestais;</w:t>
      </w:r>
      <w:bookmarkEnd w:id="0"/>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31, de 03/12/2009, e legislação correlata;</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Documento de Origem Florestal – DOF, instituído pela Portaria n° 253, de 18/08/2006, do Ministério do Meio Ambiente, e Instrução Normativa IBAMA n° 112, de 21/08/2006, quando se tratar de produtos ou subprodutos florestais de origem nativa cujo transporte e armazenamento exijam a emissão de tal licença obrigatória.</w:t>
      </w:r>
    </w:p>
    <w:p>
      <w:pPr>
        <w:pStyle w:val="Normal"/>
        <w:numPr>
          <w:ilvl w:val="3"/>
          <w:numId w:val="2"/>
        </w:numPr>
        <w:spacing w:lineRule="auto" w:line="276" w:before="120" w:after="360"/>
        <w:ind w:left="851" w:right="0" w:hanging="0"/>
        <w:jc w:val="both"/>
        <w:rPr>
          <w:rFonts w:ascii="Palatino Linotype" w:hAnsi="Palatino Linotype" w:cs="Palatino Linotype"/>
          <w:sz w:val="20"/>
          <w:szCs w:val="20"/>
        </w:rPr>
      </w:pPr>
      <w:r>
        <w:rPr>
          <w:rFonts w:cs="Palatino Linotype" w:ascii="Palatino Linotype" w:hAnsi="Palatino Linotype"/>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pPr>
        <w:pStyle w:val="Normal"/>
        <w:numPr>
          <w:ilvl w:val="2"/>
          <w:numId w:val="2"/>
        </w:numPr>
        <w:spacing w:before="0" w:after="360"/>
        <w:ind w:left="567" w:right="0" w:hanging="0"/>
        <w:jc w:val="both"/>
        <w:rPr>
          <w:rFonts w:ascii="Palatino Linotype" w:hAnsi="Palatino Linotype" w:cs="Palatino Linotype"/>
          <w:color w:val="000000"/>
          <w:sz w:val="20"/>
        </w:rPr>
      </w:pPr>
      <w:r>
        <w:rPr>
          <w:rFonts w:cs="Palatino Linotype" w:ascii="Palatino Linotype" w:hAnsi="Palatino Linotype"/>
          <w:color w:val="000000"/>
          <w:sz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A (reutilizáveis ou recicláveis como agregados): deverão ser reutilizados ou reciclados na forma de agregados, ou encaminhados a aterros de resíduos classe A de reservação de material para usos futuros;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B (recicláveis para outras destinações): deverão ser reutilizados, reciclados ou encaminhados a áreas de armazenamento temporário, sendo dispostos de modo a permitir a sua utilização ou reciclagem futura;</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C (para os quais não foram desenvolvidas tecnologias ou aplicações economicamente viáveis que permitam a sua reciclagem/recuperação): deverão ser armazenados, transportados e destinados em conformidade com as normas técnicas específicas;</w:t>
      </w:r>
    </w:p>
    <w:p>
      <w:pPr>
        <w:pStyle w:val="Normal"/>
        <w:numPr>
          <w:ilvl w:val="3"/>
          <w:numId w:val="2"/>
        </w:numPr>
        <w:spacing w:lineRule="auto" w:line="276" w:before="120" w:after="360"/>
        <w:ind w:left="851" w:right="0" w:hanging="0"/>
        <w:jc w:val="both"/>
        <w:rPr>
          <w:rFonts w:ascii="Palatino Linotype" w:hAnsi="Palatino Linotype" w:cs="Palatino Linotype"/>
          <w:sz w:val="20"/>
        </w:rPr>
      </w:pPr>
      <w:r>
        <w:rPr>
          <w:rFonts w:cs="Palatino Linotype" w:ascii="Palatino Linotype" w:hAnsi="Palatino Linotype"/>
          <w:sz w:val="20"/>
        </w:rPr>
        <w:t>resíduos Classe D (perigosos, contaminados ou prejudiciais à saúde): deverão ser armazenados, transportados, reutilizados e destinados em conformidade com as normas técnicas específicas.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Em nenhuma hipótese a Contratada poderá dispor os resíduos originários da contratação em aterros de resíduos sólidos urbanos, áreas de “bota fora”, encostas, corpos d´água, lotes vagos e áreas protegidas por Lei, bem como em áreas não licenciadas;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nºs 15.112, 15.113, 15.114, 15.115 e 15.116, de 2004;</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Observar as diretrizes, critérios e procedimentos para a gestão dos resíduos da construção civil estabelecidos na Resolução nº 307, de 05/07/2002, com as alterações da Resolução nº 448/2012, do Conselho Nacional de Meio Ambiente - CONAMA, nos seguintes termos: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Responder por qualquer acidente de trabalho na execução dos serviços, por uso indevido de patentes registradas em nome de terceiros, por danos resultantes de caso fortuito ou de força maior, por qualquer causa de destruição, danificação, defeitos ou incorreções dos serviços ou dos bens da Contratante, de seus funcionários ou de terceiros, ainda que ocorridos em via pública junto à obra;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Fornecer, quando for o caso, os projetos executivos desenvolvidos pela contratada,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pPr>
        <w:pStyle w:val="Normal"/>
        <w:numPr>
          <w:ilvl w:val="2"/>
          <w:numId w:val="2"/>
        </w:numPr>
        <w:spacing w:before="0" w:after="360"/>
        <w:ind w:left="567" w:right="0" w:hanging="0"/>
        <w:jc w:val="both"/>
        <w:rPr>
          <w:rFonts w:ascii="Palatino Linotype" w:hAnsi="Palatino Linotype" w:cs="Palatino Linotype"/>
          <w:sz w:val="20"/>
        </w:rPr>
      </w:pPr>
      <w:r>
        <w:rPr>
          <w:rFonts w:cs="Palatino Linotype" w:ascii="Palatino Linotype" w:hAnsi="Palatino Linotype"/>
          <w:sz w:val="20"/>
        </w:rPr>
        <w:t>A elaboração dos projetos executivos, quando for o caso, deverá partir das soluções desenvolvidas nos anteprojetos constantes neste Projeto Básico e seus anexos (Caderno de Encargos e Especificações Técnicas) e apresentar o detalhamento dos elementos construtivos e especificações técnicas, incorporando as alterações exigidas pelas mútuas interferências entre os diversos projetos;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empresa contratada cujos empregados vinculados ao serviço sejam regidos pela CLT deverá entregar ao setor responsável pela fiscalização do contrato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Serão de exclusiva responsabilidade da contratada eventuais erros/equívocos no dimensionamento da proposta;</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Em se tratando de atividades que envolvam serviços de natureza intelectual, após a assinatura do contrato, a contratada deverá participar de reunião inicial, devidamente registrada em Ata, para dar início à execução do serviço, com o esclarecimento das obrigações contratuais, em que estejam presentes os técnicos responsáveis pela elaboração do termo de referência, o gestor do contrato, o fiscal técnico do contrato, o fiscal administrativo do contrato, os técnicos da área requisitante, o preposto da empresa e os gerentes das áreas que executarão os serviços contratados.</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CONTROLE E FISCALIZAÇÃO DA EXECUÇÃO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 representante da Contratante deverá ter a qualificação necessária para o acompanhamento e controle da execução dos serviços e do contrato;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verificação da adequação da prestação do serviço deverá ser realizada com base nos critérios previstos neste Projeto Básico;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 representante da Contratante deverá promover o registro das ocorrências verificadas, adotando as providências necessárias ao fiel cumprimento das cláusulas contratuais, conforme o disposto nos §§ 1º e 2º do art. 67 da Lei nº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O descumprimento total ou parcial das obrigações e responsabilidades assumidas pela Contratada, sobretudo quanto às obrigações e encargos sociais e trabalhistas, ensejará a aplicação de sanções administrativas, previstas no edital da licitação e na legislação vigente, podendo culminar em rescisão contratual, conforme disposto nos artigos 77 e 87 da Lei nº 8.666, de 1993;</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DA SUBCONTRATAÇÃO</w:t>
      </w:r>
    </w:p>
    <w:p>
      <w:pPr>
        <w:pStyle w:val="Normal"/>
        <w:numPr>
          <w:ilvl w:val="1"/>
          <w:numId w:val="2"/>
        </w:numPr>
        <w:spacing w:before="0" w:after="360"/>
        <w:jc w:val="both"/>
        <w:rPr/>
      </w:pPr>
      <w:r>
        <w:rPr>
          <w:rFonts w:cs="Palatino Linotype" w:ascii="Palatino Linotype" w:hAnsi="Palatino Linotype"/>
          <w:sz w:val="20"/>
          <w:szCs w:val="20"/>
          <w:lang w:bidi="zxx"/>
        </w:rPr>
        <w:t>Não s</w:t>
      </w:r>
      <w:r>
        <w:rPr>
          <w:rFonts w:cs="Palatino Linotype" w:ascii="Palatino Linotype" w:hAnsi="Palatino Linotype"/>
          <w:sz w:val="20"/>
          <w:szCs w:val="20"/>
          <w:lang w:bidi="zxx"/>
        </w:rPr>
        <w:t>erá admitida a subcontratação do objeto licitatório;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SANÇÕES ADMINISTRATIVAS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As sanções relacionadas à execução contratual serão aquelas previstas no edital da licitação.</w:t>
      </w:r>
    </w:p>
    <w:p>
      <w:pPr>
        <w:pStyle w:val="Normal"/>
        <w:numPr>
          <w:ilvl w:val="0"/>
          <w:numId w:val="2"/>
        </w:numPr>
        <w:spacing w:before="0" w:after="360"/>
        <w:jc w:val="both"/>
        <w:rPr>
          <w:rFonts w:ascii="Palatino Linotype" w:hAnsi="Palatino Linotype" w:cs="Palatino Linotype"/>
          <w:b/>
          <w:b/>
          <w:sz w:val="20"/>
          <w:szCs w:val="20"/>
          <w:u w:val="single"/>
          <w:lang w:bidi="zxx"/>
        </w:rPr>
      </w:pPr>
      <w:r>
        <w:rPr>
          <w:rFonts w:cs="Palatino Linotype" w:ascii="Palatino Linotype" w:hAnsi="Palatino Linotype"/>
          <w:b/>
          <w:sz w:val="20"/>
          <w:szCs w:val="20"/>
          <w:u w:val="single"/>
          <w:lang w:bidi="zxx"/>
        </w:rPr>
        <w:t>ANEXOS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Integram este Projeto Básico, para todos os fins e efeitos, os seguintes Anexos, Impressos em Mídia Digital(CD):</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Caderno de Encargos e Especificações Técnicas;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Planilha Estimativa de Custos e Formação de Preços;</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Memória de Cálculo;</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Planilha de Composição de BDI;</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Cronograma Físico-Financeiro;</w:t>
      </w:r>
    </w:p>
    <w:p>
      <w:pPr>
        <w:pStyle w:val="Normal"/>
        <w:numPr>
          <w:ilvl w:val="2"/>
          <w:numId w:val="2"/>
        </w:numPr>
        <w:spacing w:before="0" w:after="360"/>
        <w:jc w:val="both"/>
        <w:rPr>
          <w:rFonts w:ascii="Palatino Linotype" w:hAnsi="Palatino Linotype" w:cs="Palatino Linotype"/>
          <w:sz w:val="20"/>
        </w:rPr>
      </w:pPr>
      <w:r>
        <w:rPr>
          <w:rFonts w:cs="Palatino Linotype" w:ascii="Palatino Linotype" w:hAnsi="Palatino Linotype"/>
          <w:sz w:val="20"/>
        </w:rPr>
        <w:t>Projeto Arquitetônico e/ou Complementares.</w:t>
      </w:r>
    </w:p>
    <w:p>
      <w:pPr>
        <w:pStyle w:val="Normal"/>
        <w:numPr>
          <w:ilvl w:val="1"/>
          <w:numId w:val="2"/>
        </w:numPr>
        <w:spacing w:before="0" w:after="360"/>
        <w:jc w:val="both"/>
        <w:rPr>
          <w:rFonts w:ascii="Palatino Linotype" w:hAnsi="Palatino Linotype" w:cs="Palatino Linotype"/>
          <w:sz w:val="20"/>
        </w:rPr>
      </w:pPr>
      <w:r>
        <w:rPr>
          <w:rFonts w:cs="Palatino Linotype" w:ascii="Palatino Linotype" w:hAnsi="Palatino Linotype"/>
          <w:sz w:val="20"/>
        </w:rPr>
        <w:t>Integram este Projeto Básico, ainda, para todos os fins e efeitos, os respectivos projetos de engenharia, bem como os documentos referentes à responsabilidade técnica (ART/RRT referentes à totalidade das peças técnicas produzidas por profissional habilitado).</w:t>
      </w:r>
    </w:p>
    <w:p>
      <w:pPr>
        <w:pStyle w:val="Normal"/>
        <w:spacing w:before="0" w:after="360"/>
        <w:ind w:left="284" w:right="0" w:hanging="0"/>
        <w:jc w:val="center"/>
        <w:rPr/>
      </w:pPr>
      <w:r>
        <w:rPr>
          <w:rFonts w:eastAsia="Arial Unicode MS" w:cs="Palatino Linotype" w:ascii="Palatino Linotype" w:hAnsi="Palatino Linotype"/>
          <w:sz w:val="20"/>
          <w:szCs w:val="20"/>
        </w:rPr>
        <w:t xml:space="preserve">Arapiraca, </w:t>
      </w:r>
      <w:r>
        <w:rPr>
          <w:rFonts w:eastAsia="Arial Unicode MS" w:cs="Palatino Linotype" w:ascii="Palatino Linotype" w:hAnsi="Palatino Linotype"/>
          <w:sz w:val="20"/>
          <w:szCs w:val="20"/>
        </w:rPr>
        <w:t>13</w:t>
      </w:r>
      <w:r>
        <w:rPr>
          <w:rFonts w:eastAsia="Arial Unicode MS" w:cs="Palatino Linotype" w:ascii="Palatino Linotype" w:hAnsi="Palatino Linotype"/>
          <w:sz w:val="20"/>
          <w:szCs w:val="20"/>
        </w:rPr>
        <w:t xml:space="preserve"> de </w:t>
      </w:r>
      <w:r>
        <w:rPr>
          <w:rFonts w:eastAsia="Arial Unicode MS" w:cs="Palatino Linotype" w:ascii="Palatino Linotype" w:hAnsi="Palatino Linotype"/>
          <w:sz w:val="20"/>
          <w:szCs w:val="20"/>
        </w:rPr>
        <w:t>dezembro</w:t>
      </w:r>
      <w:r>
        <w:rPr>
          <w:rFonts w:eastAsia="Arial Unicode MS" w:cs="Palatino Linotype" w:ascii="Palatino Linotype" w:hAnsi="Palatino Linotype"/>
          <w:sz w:val="20"/>
          <w:szCs w:val="20"/>
        </w:rPr>
        <w:t xml:space="preserve"> 2019.</w:t>
      </w:r>
    </w:p>
    <w:p>
      <w:pPr>
        <w:pStyle w:val="Normal"/>
        <w:spacing w:lineRule="atLeast" w:line="100" w:before="0" w:after="0"/>
        <w:ind w:left="0"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r>
    </w:p>
    <w:p>
      <w:pPr>
        <w:pStyle w:val="Normal"/>
        <w:spacing w:lineRule="atLeast" w:line="100" w:before="0" w:after="0"/>
        <w:ind w:left="0"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r>
    </w:p>
    <w:p>
      <w:pPr>
        <w:pStyle w:val="Normal"/>
        <w:spacing w:lineRule="atLeast" w:line="100" w:before="0" w:after="0"/>
        <w:ind w:left="0" w:right="0" w:hanging="0"/>
        <w:jc w:val="center"/>
        <w:rPr>
          <w:rFonts w:ascii="Palatino Linotype" w:hAnsi="Palatino Linotype" w:eastAsia="Arial Unicode MS" w:cs="Palatino Linotype"/>
          <w:sz w:val="20"/>
          <w:szCs w:val="20"/>
        </w:rPr>
      </w:pPr>
      <w:r>
        <w:rPr>
          <w:rFonts w:eastAsia="Arial Unicode MS" w:cs="Palatino Linotype" w:ascii="Palatino Linotype" w:hAnsi="Palatino Linotype"/>
          <w:sz w:val="20"/>
          <w:szCs w:val="20"/>
        </w:rPr>
        <w:t>Thalyne Alves Feitosa</w:t>
      </w:r>
    </w:p>
    <w:p>
      <w:pPr>
        <w:pStyle w:val="Normal"/>
        <w:spacing w:lineRule="atLeast" w:line="100" w:before="0" w:after="0"/>
        <w:ind w:left="0" w:right="0" w:hanging="0"/>
        <w:jc w:val="center"/>
        <w:rPr>
          <w:rFonts w:ascii="Palatino Linotype" w:hAnsi="Palatino Linotype" w:eastAsia="Arial Unicode MS" w:cs="Palatino Linotype"/>
          <w:b/>
          <w:b/>
          <w:bCs/>
          <w:sz w:val="20"/>
          <w:szCs w:val="20"/>
        </w:rPr>
      </w:pPr>
      <w:r>
        <w:rPr>
          <w:rFonts w:eastAsia="Arial Unicode MS" w:cs="Palatino Linotype" w:ascii="Palatino Linotype" w:hAnsi="Palatino Linotype"/>
          <w:b/>
          <w:bCs/>
          <w:sz w:val="20"/>
          <w:szCs w:val="20"/>
        </w:rPr>
        <w:t>Arquiteta e Urbanista</w:t>
      </w:r>
    </w:p>
    <w:p>
      <w:pPr>
        <w:pStyle w:val="Normal"/>
        <w:spacing w:lineRule="atLeast" w:line="100" w:before="0" w:after="0"/>
        <w:ind w:left="0" w:right="0" w:hanging="0"/>
        <w:jc w:val="center"/>
        <w:rPr>
          <w:rFonts w:ascii="Palatino Linotype" w:hAnsi="Palatino Linotype" w:eastAsia="Arial Unicode MS" w:cs="Palatino Linotype"/>
          <w:b/>
          <w:b/>
          <w:bCs/>
          <w:sz w:val="20"/>
          <w:szCs w:val="20"/>
        </w:rPr>
      </w:pPr>
      <w:r>
        <w:rPr>
          <w:rFonts w:eastAsia="Arial Unicode MS" w:cs="Palatino Linotype" w:ascii="Palatino Linotype" w:hAnsi="Palatino Linotype"/>
          <w:b/>
          <w:bCs/>
          <w:sz w:val="20"/>
          <w:szCs w:val="20"/>
        </w:rPr>
        <w:t>CAU Nº 188896-0</w:t>
      </w:r>
    </w:p>
    <w:p>
      <w:pPr>
        <w:pStyle w:val="Normal"/>
        <w:spacing w:before="0" w:after="360"/>
        <w:ind w:left="284" w:right="0" w:hanging="0"/>
        <w:jc w:val="center"/>
        <w:rPr>
          <w:rFonts w:ascii="Century Gothic" w:hAnsi="Century Gothic" w:cs="Century Gothic"/>
          <w:sz w:val="20"/>
          <w:szCs w:val="20"/>
          <w:highlight w:val="lightGray"/>
        </w:rPr>
      </w:pPr>
      <w:r>
        <w:rPr>
          <w:rFonts w:cs="Century Gothic" w:ascii="Century Gothic" w:hAnsi="Century Gothic"/>
          <w:sz w:val="20"/>
          <w:szCs w:val="20"/>
          <w:highlight w:val="lightGray"/>
        </w:rPr>
      </w:r>
    </w:p>
    <w:p>
      <w:pPr>
        <w:pStyle w:val="Normal"/>
        <w:spacing w:lineRule="auto" w:line="360" w:before="0" w:after="0"/>
        <w:jc w:val="center"/>
        <w:rPr/>
      </w:pPr>
      <w:r>
        <w:rPr/>
      </w:r>
    </w:p>
    <w:sectPr>
      <w:headerReference w:type="default" r:id="rId2"/>
      <w:footerReference w:type="default" r:id="rId3"/>
      <w:type w:val="nextPage"/>
      <w:pgSz w:w="11906" w:h="16838"/>
      <w:pgMar w:left="1701" w:right="851" w:header="709" w:top="1701" w:footer="737"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Futura-BoldOblique">
    <w:altName w:val="Bookman Old Style"/>
    <w:charset w:val="00"/>
    <w:family w:val="roman"/>
    <w:pitch w:val="variable"/>
  </w:font>
  <w:font w:name="Segoe UI">
    <w:charset w:val="00"/>
    <w:family w:val="roman"/>
    <w:pitch w:val="variable"/>
  </w:font>
  <w:font w:name="Palatino Linotype">
    <w:charset w:val="00"/>
    <w:family w:val="roman"/>
    <w:pitch w:val="variable"/>
  </w:font>
  <w:font w:name="Liberation Sans">
    <w:altName w:val="Arial"/>
    <w:charset w:val="00"/>
    <w:family w:val="roman"/>
    <w:pitch w:val="variable"/>
  </w:font>
  <w:font w:name="Century Gothic">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p>
    <w:pPr>
      <w:pStyle w:val="Rodap"/>
      <w:rPr/>
    </w:pPr>
    <w:r>
      <w:rPr/>
      <mc:AlternateContent>
        <mc:Choice Requires="wps">
          <w:drawing>
            <wp:anchor behindDoc="1" distT="45720" distB="45720" distL="114300" distR="114300" simplePos="0" locked="0" layoutInCell="1" allowOverlap="1" relativeHeight="12" wp14:anchorId="24600AC0">
              <wp:simplePos x="0" y="0"/>
              <wp:positionH relativeFrom="margin">
                <wp:posOffset>471170</wp:posOffset>
              </wp:positionH>
              <wp:positionV relativeFrom="paragraph">
                <wp:posOffset>93345</wp:posOffset>
              </wp:positionV>
              <wp:extent cx="4469130" cy="544195"/>
              <wp:effectExtent l="0" t="0" r="3175" b="3810"/>
              <wp:wrapSquare wrapText="bothSides"/>
              <wp:docPr id="7" name="Caixa de Texto 2"/>
              <a:graphic xmlns:a="http://schemas.openxmlformats.org/drawingml/2006/main">
                <a:graphicData uri="http://schemas.microsoft.com/office/word/2010/wordprocessingShape">
                  <wps:wsp>
                    <wps:cNvSpPr/>
                    <wps:spPr>
                      <a:xfrm>
                        <a:off x="0" y="0"/>
                        <a:ext cx="4468320" cy="543600"/>
                      </a:xfrm>
                      <a:prstGeom prst="rect">
                        <a:avLst/>
                      </a:prstGeom>
                      <a:solidFill>
                        <a:srgbClr val="ffffff"/>
                      </a:solidFill>
                      <a:ln w="9360">
                        <a:noFill/>
                      </a:ln>
                    </wps:spPr>
                    <wps:style>
                      <a:lnRef idx="0"/>
                      <a:fillRef idx="0"/>
                      <a:effectRef idx="0"/>
                      <a:fontRef idx="minor"/>
                    </wps:style>
                    <wps:txb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wps:txbx>
                    <wps:bodyPr>
                      <a:noAutofit/>
                    </wps:bodyPr>
                  </wps:wsp>
                </a:graphicData>
              </a:graphic>
            </wp:anchor>
          </w:drawing>
        </mc:Choice>
        <mc:Fallback>
          <w:pict>
            <v:rect id="shape_0" ID="Caixa de Texto 2" fillcolor="white" stroked="f" style="position:absolute;margin-left:37.1pt;margin-top:7.35pt;width:351.8pt;height:42.75pt;mso-position-horizontal-relative:margin" wp14:anchorId="24600AC0">
              <w10:wrap type="square"/>
              <v:fill o:detectmouseclick="t" type="solid" color2="black"/>
              <v:stroke color="#3465a4" weight="9360" joinstyle="round" endcap="flat"/>
              <v:textbox>
                <w:txbxContent>
                  <w:p>
                    <w:pPr>
                      <w:pStyle w:val="Rodap"/>
                      <w:jc w:val="center"/>
                      <w:rPr>
                        <w:rFonts w:ascii="Arial" w:hAnsi="Arial" w:cs="Arial"/>
                        <w:b/>
                        <w:b/>
                        <w:sz w:val="15"/>
                        <w:szCs w:val="15"/>
                      </w:rPr>
                    </w:pPr>
                    <w:r>
                      <w:rPr>
                        <w:rFonts w:cs="Arial" w:ascii="Arial" w:hAnsi="Arial"/>
                        <w:b/>
                        <w:color w:val="00000A"/>
                        <w:sz w:val="15"/>
                        <w:szCs w:val="15"/>
                      </w:rPr>
                      <w:t>CENTRO ADMINISTRATIVO ANTÔNIO ROCHA</w:t>
                    </w:r>
                  </w:p>
                  <w:p>
                    <w:pPr>
                      <w:pStyle w:val="Rodap"/>
                      <w:jc w:val="center"/>
                      <w:rPr/>
                    </w:pPr>
                    <w:r>
                      <w:rPr>
                        <w:rFonts w:cs="Arial" w:ascii="Arial" w:hAnsi="Arial"/>
                        <w:color w:val="00000A"/>
                        <w:sz w:val="15"/>
                        <w:szCs w:val="15"/>
                      </w:rPr>
                      <w:t>Rua Samaritana, nº 1.185 – Bairro Santa Edwiges – CEP 57.311-180</w:t>
                    </w:r>
                  </w:p>
                  <w:p>
                    <w:pPr>
                      <w:pStyle w:val="Rodap"/>
                      <w:jc w:val="center"/>
                      <w:rPr>
                        <w:rFonts w:ascii="Arial" w:hAnsi="Arial" w:cs="Arial"/>
                        <w:sz w:val="15"/>
                        <w:szCs w:val="15"/>
                      </w:rPr>
                    </w:pPr>
                    <w:r>
                      <w:rPr>
                        <w:rFonts w:cs="Arial" w:ascii="Arial" w:hAnsi="Arial"/>
                        <w:color w:val="00000A"/>
                        <w:sz w:val="15"/>
                        <w:szCs w:val="15"/>
                      </w:rPr>
                      <w:t>CNPJ nº 12.198.693/0001-58</w:t>
                    </w:r>
                  </w:p>
                  <w:p>
                    <w:pPr>
                      <w:pStyle w:val="Contedodoquadro"/>
                      <w:spacing w:before="0" w:after="160"/>
                      <w:rPr>
                        <w:color w:val="00000A"/>
                      </w:rPr>
                    </w:pPr>
                    <w:r>
                      <w:rPr>
                        <w:color w:val="00000A"/>
                      </w:rPr>
                    </w:r>
                  </w:p>
                </w:txbxContent>
              </v:textbox>
            </v:rect>
          </w:pict>
        </mc:Fallback>
      </mc:AlternateContent>
      <mc:AlternateContent>
        <mc:Choice Requires="wps">
          <w:drawing>
            <wp:anchor behindDoc="1" distT="0" distB="0" distL="114300" distR="114300" simplePos="0" locked="0" layoutInCell="1" allowOverlap="1" relativeHeight="78" wp14:anchorId="3FC3F800">
              <wp:simplePos x="0" y="0"/>
              <wp:positionH relativeFrom="margin">
                <wp:posOffset>4445</wp:posOffset>
              </wp:positionH>
              <wp:positionV relativeFrom="paragraph">
                <wp:posOffset>1270</wp:posOffset>
              </wp:positionV>
              <wp:extent cx="5954395" cy="36195"/>
              <wp:effectExtent l="0" t="0" r="3810" b="0"/>
              <wp:wrapNone/>
              <wp:docPr id="9" name="Retângulo 3"/>
              <a:graphic xmlns:a="http://schemas.openxmlformats.org/drawingml/2006/main">
                <a:graphicData uri="http://schemas.microsoft.com/office/word/2010/wordprocessingShape">
                  <wps:wsp>
                    <wps:cNvSpPr/>
                    <wps:spPr>
                      <a:xfrm>
                        <a:off x="0" y="0"/>
                        <a:ext cx="5953680" cy="3564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3" fillcolor="#fbba00" stroked="f" style="position:absolute;margin-left:0.35pt;margin-top:0.1pt;width:468.75pt;height:2.75pt;mso-position-horizontal-relative:margin" wp14:anchorId="3FC3F800">
              <w10:wrap type="none"/>
              <v:fill o:detectmouseclick="t" type="solid" color2="#0445ff"/>
              <v:stroke color="#3465a4" weight="12600" joinstyle="miter" endcap="flat"/>
            </v:rect>
          </w:pict>
        </mc:Fallback>
      </mc:AlternateContent>
      <w:drawing>
        <wp:anchor behindDoc="1" distT="0" distB="0" distL="114300" distR="114300" simplePos="0" locked="0" layoutInCell="1" allowOverlap="1" relativeHeight="23">
          <wp:simplePos x="0" y="0"/>
          <wp:positionH relativeFrom="column">
            <wp:posOffset>1496695</wp:posOffset>
          </wp:positionH>
          <wp:positionV relativeFrom="paragraph">
            <wp:posOffset>85090</wp:posOffset>
          </wp:positionV>
          <wp:extent cx="135890" cy="135890"/>
          <wp:effectExtent l="0" t="0" r="0" b="0"/>
          <wp:wrapNone/>
          <wp:docPr id="10" name="Imagem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2" descr=""/>
                  <pic:cNvPicPr>
                    <a:picLocks noChangeAspect="1" noChangeArrowheads="1"/>
                  </pic:cNvPicPr>
                </pic:nvPicPr>
                <pic:blipFill>
                  <a:blip r:embed="rId1"/>
                  <a:stretch>
                    <a:fillRect/>
                  </a:stretch>
                </pic:blipFill>
                <pic:spPr bwMode="auto">
                  <a:xfrm>
                    <a:off x="0" y="0"/>
                    <a:ext cx="135890" cy="135890"/>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tabs>
        <w:tab w:val="center" w:pos="4252" w:leader="none"/>
        <w:tab w:val="left" w:pos="4940" w:leader="none"/>
        <w:tab w:val="right" w:pos="8504" w:leader="none"/>
      </w:tabs>
      <w:rPr/>
    </w:pPr>
    <w:r>
      <mc:AlternateContent>
        <mc:Choice Requires="wps">
          <w:drawing>
            <wp:anchor behindDoc="1" distT="0" distB="0" distL="114300" distR="114300" simplePos="0" locked="0" layoutInCell="1" allowOverlap="1" relativeHeight="67" wp14:anchorId="2ADEE977">
              <wp:simplePos x="0" y="0"/>
              <wp:positionH relativeFrom="margin">
                <wp:align>right</wp:align>
              </wp:positionH>
              <wp:positionV relativeFrom="paragraph">
                <wp:posOffset>559435</wp:posOffset>
              </wp:positionV>
              <wp:extent cx="5954395" cy="36195"/>
              <wp:effectExtent l="0" t="0" r="3810" b="0"/>
              <wp:wrapNone/>
              <wp:docPr id="1" name="Retângulo 4"/>
              <a:graphic xmlns:a="http://schemas.openxmlformats.org/drawingml/2006/main">
                <a:graphicData uri="http://schemas.microsoft.com/office/word/2010/wordprocessingShape">
                  <wps:wsp>
                    <wps:cNvSpPr/>
                    <wps:spPr>
                      <a:xfrm>
                        <a:off x="0" y="0"/>
                        <a:ext cx="5953680" cy="35640"/>
                      </a:xfrm>
                      <a:prstGeom prst="rect">
                        <a:avLst/>
                      </a:prstGeom>
                      <a:solidFill>
                        <a:srgbClr val="fbba00"/>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4" fillcolor="#fbba00" stroked="f" style="position:absolute;margin-left:-10.45pt;margin-top:44.05pt;width:468.75pt;height:2.75pt;mso-position-horizontal:right;mso-position-horizontal-relative:margin" wp14:anchorId="2ADEE977">
              <w10:wrap type="none"/>
              <v:fill o:detectmouseclick="t" type="solid" color2="#0445ff"/>
              <v:stroke color="#3465a4" weight="12600" joinstyle="miter" endcap="flat"/>
            </v:rect>
          </w:pict>
        </mc:Fallback>
      </mc:AlternateContent>
      <mc:AlternateContent>
        <mc:Choice Requires="wps">
          <w:drawing>
            <wp:anchor behindDoc="1" distT="45720" distB="45720" distL="114300" distR="114300" simplePos="0" locked="0" layoutInCell="1" allowOverlap="1" relativeHeight="89" wp14:anchorId="58F215D8">
              <wp:simplePos x="0" y="0"/>
              <wp:positionH relativeFrom="margin">
                <wp:posOffset>2098675</wp:posOffset>
              </wp:positionH>
              <wp:positionV relativeFrom="paragraph">
                <wp:posOffset>67945</wp:posOffset>
              </wp:positionV>
              <wp:extent cx="3954780" cy="478790"/>
              <wp:effectExtent l="0" t="0" r="7620" b="0"/>
              <wp:wrapNone/>
              <wp:docPr id="2" name="Caixa de Texto 2"/>
              <a:graphic xmlns:a="http://schemas.openxmlformats.org/drawingml/2006/main">
                <a:graphicData uri="http://schemas.microsoft.com/office/word/2010/wordprocessingShape">
                  <wps:wsp>
                    <wps:cNvSpPr/>
                    <wps:spPr>
                      <a:xfrm>
                        <a:off x="0" y="0"/>
                        <a:ext cx="3954240" cy="478080"/>
                      </a:xfrm>
                      <a:prstGeom prst="rect">
                        <a:avLst/>
                      </a:prstGeom>
                      <a:solidFill>
                        <a:srgbClr val="ffffff"/>
                      </a:solidFill>
                      <a:ln w="9360">
                        <a:noFill/>
                      </a:ln>
                    </wps:spPr>
                    <wps:style>
                      <a:lnRef idx="0"/>
                      <a:fillRef idx="0"/>
                      <a:effectRef idx="0"/>
                      <a:fontRef idx="minor"/>
                    </wps:style>
                    <wps:txb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wps:txbx>
                    <wps:bodyPr>
                      <a:noAutofit/>
                    </wps:bodyPr>
                  </wps:wsp>
                </a:graphicData>
              </a:graphic>
            </wp:anchor>
          </w:drawing>
        </mc:Choice>
        <mc:Fallback>
          <w:pict>
            <v:rect id="shape_0" ID="Caixa de Texto 2" fillcolor="white" stroked="f" style="position:absolute;margin-left:165.25pt;margin-top:5.35pt;width:311.3pt;height:37.6pt;mso-position-horizontal-relative:margin" wp14:anchorId="58F215D8">
              <w10:wrap type="square"/>
              <v:fill o:detectmouseclick="t" type="solid" color2="black"/>
              <v:stroke color="#3465a4" weight="9360" joinstyle="round" endcap="flat"/>
              <v:textbox>
                <w:txbxContent>
                  <w:p>
                    <w:pPr>
                      <w:pStyle w:val="Contedodoquadro"/>
                      <w:jc w:val="right"/>
                      <w:rPr/>
                    </w:pPr>
                    <w:r>
                      <w:rPr>
                        <w:rFonts w:cs="Arial" w:ascii="Arial" w:hAnsi="Arial"/>
                        <w:b/>
                        <w:color w:val="00000A"/>
                        <w:sz w:val="24"/>
                      </w:rPr>
                      <w:t>SECRETARIA MUNICIPAL DE INFRAESTRUTURA</w:t>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jc w:val="right"/>
                      <w:rPr>
                        <w:rFonts w:ascii="Arial" w:hAnsi="Arial" w:cs="Arial"/>
                        <w:b/>
                        <w:b/>
                        <w:color w:val="00000A"/>
                        <w:sz w:val="24"/>
                      </w:rPr>
                    </w:pPr>
                    <w:r>
                      <w:rPr>
                        <w:rFonts w:cs="Arial" w:ascii="Arial" w:hAnsi="Arial"/>
                        <w:b/>
                        <w:color w:val="00000A"/>
                        <w:sz w:val="24"/>
                      </w:rPr>
                    </w:r>
                  </w:p>
                  <w:p>
                    <w:pPr>
                      <w:pStyle w:val="Contedodoquadro"/>
                      <w:spacing w:before="0" w:after="160"/>
                      <w:jc w:val="right"/>
                      <w:rPr>
                        <w:rFonts w:ascii="Arial" w:hAnsi="Arial" w:cs="Arial"/>
                        <w:b/>
                        <w:b/>
                        <w:color w:val="00000A"/>
                        <w:sz w:val="24"/>
                      </w:rPr>
                    </w:pPr>
                    <w:r>
                      <w:rPr>
                        <w:rFonts w:cs="Arial" w:ascii="Arial" w:hAnsi="Arial"/>
                        <w:b/>
                        <w:color w:val="00000A"/>
                        <w:sz w:val="24"/>
                      </w:rPr>
                    </w:r>
                  </w:p>
                </w:txbxContent>
              </v:textbox>
            </v:rect>
          </w:pict>
        </mc:Fallback>
      </mc:AlternateContent>
      <w:drawing>
        <wp:anchor behindDoc="1" distT="0" distB="0" distL="114300" distR="114300" simplePos="0" locked="0" layoutInCell="1" allowOverlap="1" relativeHeight="56">
          <wp:simplePos x="0" y="0"/>
          <wp:positionH relativeFrom="column">
            <wp:posOffset>66040</wp:posOffset>
          </wp:positionH>
          <wp:positionV relativeFrom="paragraph">
            <wp:posOffset>-116205</wp:posOffset>
          </wp:positionV>
          <wp:extent cx="1800225" cy="654050"/>
          <wp:effectExtent l="0" t="0" r="0" b="0"/>
          <wp:wrapNone/>
          <wp:docPr id="4"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descr=""/>
                  <pic:cNvPicPr>
                    <a:picLocks noChangeAspect="1" noChangeArrowheads="1"/>
                  </pic:cNvPicPr>
                </pic:nvPicPr>
                <pic:blipFill>
                  <a:blip r:embed="rId1"/>
                  <a:srcRect l="5204" t="0" r="7457" b="0"/>
                  <a:stretch>
                    <a:fillRect/>
                  </a:stretch>
                </pic:blipFill>
                <pic:spPr bwMode="auto">
                  <a:xfrm>
                    <a:off x="0" y="0"/>
                    <a:ext cx="1800225" cy="654050"/>
                  </a:xfrm>
                  <a:prstGeom prst="rect">
                    <a:avLst/>
                  </a:prstGeom>
                </pic:spPr>
              </pic:pic>
            </a:graphicData>
          </a:graphic>
        </wp:anchor>
      </w:drawing>
    </w:r>
    <w:r>
      <w:rPr>
        <w:rFonts w:cs="Arial" w:ascii="Arial" w:hAnsi="Arial"/>
        <w:sz w:val="24"/>
        <w:szCs w:val="24"/>
        <w:lang w:eastAsia="pt-BR"/>
      </w:rPr>
      <w:t xml:space="preserve"> </w:t>
    </w:r>
    <w:r>
      <w:rPr/>
      <w:tab/>
    </w:r>
  </w:p>
  <w:p>
    <w:pPr>
      <w:pStyle w:val="Cabealho"/>
      <w:tabs>
        <w:tab w:val="left" w:pos="1590" w:leader="none"/>
        <w:tab w:val="center" w:pos="4252" w:leader="none"/>
        <w:tab w:val="right" w:pos="8504" w:leader="none"/>
      </w:tabs>
      <w:rPr/>
    </w:pPr>
    <w:r>
      <w:rPr/>
      <w:tab/>
    </w:r>
  </w:p>
  <w:p>
    <w:pPr>
      <w:pStyle w:val="Cabealho"/>
      <w:tabs>
        <w:tab w:val="center" w:pos="4252" w:leader="none"/>
        <w:tab w:val="left" w:pos="4940" w:leader="none"/>
        <w:tab w:val="right" w:pos="8504" w:leader="none"/>
      </w:tabs>
      <w:rPr/>
    </w:pPr>
    <w:r>
      <w:rPr/>
    </w:r>
  </w:p>
  <w:p>
    <w:pPr>
      <w:pStyle w:val="Cabealho"/>
      <w:tabs>
        <w:tab w:val="center" w:pos="4252" w:leader="none"/>
        <w:tab w:val="left" w:pos="4940" w:leader="none"/>
        <w:tab w:val="right" w:pos="8504" w:leader="none"/>
      </w:tabs>
      <w:rPr/>
    </w:pPr>
    <w:r>
      <w:rPr/>
      <mc:AlternateContent>
        <mc:Choice Requires="wps">
          <w:drawing>
            <wp:anchor behindDoc="1" distT="0" distB="0" distL="114300" distR="114300" simplePos="0" locked="0" layoutInCell="1" allowOverlap="1" relativeHeight="34" wp14:anchorId="045FCB75">
              <wp:simplePos x="0" y="0"/>
              <wp:positionH relativeFrom="column">
                <wp:posOffset>5127625</wp:posOffset>
              </wp:positionH>
              <wp:positionV relativeFrom="paragraph">
                <wp:posOffset>8256905</wp:posOffset>
              </wp:positionV>
              <wp:extent cx="2801620" cy="852805"/>
              <wp:effectExtent l="978535" t="0" r="1060450" b="0"/>
              <wp:wrapNone/>
              <wp:docPr id="5" name="Retângulo 10"/>
              <a:graphic xmlns:a="http://schemas.openxmlformats.org/drawingml/2006/main">
                <a:graphicData uri="http://schemas.microsoft.com/office/word/2010/wordprocessingShape">
                  <wps:wsp>
                    <wps:cNvSpPr/>
                    <wps:spPr>
                      <a:xfrm rot="17872800">
                        <a:off x="0" y="0"/>
                        <a:ext cx="2801160" cy="852120"/>
                      </a:xfrm>
                      <a:prstGeom prst="rect">
                        <a:avLst/>
                      </a:prstGeom>
                      <a:solidFill>
                        <a:srgbClr val="26985a"/>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10" fillcolor="#26985a" stroked="f" style="position:absolute;margin-left:403.75pt;margin-top:650.15pt;width:220.5pt;height:67.05pt;rotation:298" wp14:anchorId="045FCB75">
              <w10:wrap type="none"/>
              <v:fill o:detectmouseclick="t" type="solid" color2="#d967a5"/>
              <v:stroke color="#3465a4" weight="12600" joinstyle="miter" endcap="flat"/>
            </v:rect>
          </w:pict>
        </mc:Fallback>
      </mc:AlternateContent>
      <mc:AlternateContent>
        <mc:Choice Requires="wps">
          <w:drawing>
            <wp:anchor behindDoc="1" distT="0" distB="0" distL="114300" distR="114300" simplePos="0" locked="0" layoutInCell="1" allowOverlap="1" relativeHeight="45" wp14:anchorId="48C966C4">
              <wp:simplePos x="0" y="0"/>
              <wp:positionH relativeFrom="column">
                <wp:posOffset>4484370</wp:posOffset>
              </wp:positionH>
              <wp:positionV relativeFrom="paragraph">
                <wp:posOffset>8031480</wp:posOffset>
              </wp:positionV>
              <wp:extent cx="3789045" cy="33655"/>
              <wp:effectExtent l="1640205" t="0" r="1630680" b="0"/>
              <wp:wrapNone/>
              <wp:docPr id="6" name="Retângulo 9"/>
              <a:graphic xmlns:a="http://schemas.openxmlformats.org/drawingml/2006/main">
                <a:graphicData uri="http://schemas.microsoft.com/office/word/2010/wordprocessingShape">
                  <wps:wsp>
                    <wps:cNvSpPr/>
                    <wps:spPr>
                      <a:xfrm rot="17874600">
                        <a:off x="0" y="0"/>
                        <a:ext cx="3788280" cy="33120"/>
                      </a:xfrm>
                      <a:prstGeom prst="rect">
                        <a:avLst/>
                      </a:prstGeom>
                      <a:solidFill>
                        <a:srgbClr val="2d2e83"/>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Retângulo 9" fillcolor="#2d2e83" stroked="f" style="position:absolute;margin-left:353.15pt;margin-top:632.4pt;width:298.25pt;height:2.55pt;rotation:298" wp14:anchorId="48C966C4">
              <w10:wrap type="none"/>
              <v:fill o:detectmouseclick="t" type="solid" color2="#d2d17c"/>
              <v:stroke color="#3465a4" weight="12600" joinstyle="miter" endcap="fla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Ttulo3"/>
      <w:numFmt w:val="none"/>
      <w:suff w:val="nothing"/>
      <w:lvlText w:val=""/>
      <w:lvlJc w:val="left"/>
      <w:pPr>
        <w:ind w:left="0" w:hanging="0"/>
      </w:pPr>
    </w:lvl>
    <w:lvl w:ilvl="3">
      <w:start w:val="1"/>
      <w:pStyle w:val="Ttulo4"/>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num w:numId="1">
    <w:abstractNumId w:val="1"/>
  </w:num>
  <w:num w:numId="2">
    <w:abstractNumId w:val="2"/>
  </w:num>
</w:numbering>
</file>

<file path=word/settings.xml><?xml version="1.0" encoding="utf-8"?>
<w:settings xmlns:w="http://schemas.openxmlformats.org/wordprocessingml/2006/main">
  <w:zoom w:percent="8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pt-BR" w:eastAsia="en-US" w:bidi="ar-SA"/>
    </w:rPr>
  </w:style>
  <w:style w:type="paragraph" w:styleId="Ttulo3">
    <w:name w:val="Heading 3"/>
    <w:basedOn w:val="Normal"/>
    <w:next w:val="Normal"/>
    <w:qFormat/>
    <w:pPr>
      <w:keepNext w:val="true"/>
      <w:numPr>
        <w:ilvl w:val="2"/>
        <w:numId w:val="1"/>
      </w:numPr>
      <w:ind w:left="0" w:right="0" w:hanging="0"/>
      <w:outlineLvl w:val="2"/>
    </w:pPr>
    <w:rPr>
      <w:rFonts w:ascii="Futura-BoldOblique;Bookman Old Style" w:hAnsi="Futura-BoldOblique;Bookman Old Style" w:cs="Futura-BoldOblique;Bookman Old Style"/>
      <w:sz w:val="36"/>
      <w:szCs w:val="20"/>
    </w:rPr>
  </w:style>
  <w:style w:type="paragraph" w:styleId="Ttulo4">
    <w:name w:val="Heading 4"/>
    <w:basedOn w:val="Normal"/>
    <w:next w:val="Normal"/>
    <w:qFormat/>
    <w:pPr>
      <w:keepNext w:val="true"/>
      <w:numPr>
        <w:ilvl w:val="3"/>
        <w:numId w:val="1"/>
      </w:numPr>
      <w:spacing w:before="0" w:after="360"/>
      <w:jc w:val="center"/>
      <w:outlineLvl w:val="3"/>
    </w:pPr>
    <w:rPr>
      <w:b/>
      <w:bCs/>
      <w:u w:val="single"/>
      <w:shd w:fill="B3B3B3" w:val="clear"/>
      <w:lang w:val="pt-BR"/>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link w:val="Cabealho"/>
    <w:uiPriority w:val="99"/>
    <w:qFormat/>
    <w:rsid w:val="004445e3"/>
    <w:rPr/>
  </w:style>
  <w:style w:type="character" w:styleId="RodapChar" w:customStyle="1">
    <w:name w:val="Rodapé Char"/>
    <w:basedOn w:val="DefaultParagraphFont"/>
    <w:link w:val="Rodap"/>
    <w:uiPriority w:val="99"/>
    <w:qFormat/>
    <w:rsid w:val="004445e3"/>
    <w:rPr/>
  </w:style>
  <w:style w:type="character" w:styleId="TextodebaloChar" w:customStyle="1">
    <w:name w:val="Texto de balão Char"/>
    <w:basedOn w:val="DefaultParagraphFont"/>
    <w:link w:val="Textodebalo"/>
    <w:uiPriority w:val="99"/>
    <w:semiHidden/>
    <w:qFormat/>
    <w:rsid w:val="005760a9"/>
    <w:rPr>
      <w:rFonts w:ascii="Segoe UI" w:hAnsi="Segoe UI" w:cs="Segoe UI"/>
      <w:sz w:val="18"/>
      <w:szCs w:val="18"/>
    </w:rPr>
  </w:style>
  <w:style w:type="character" w:styleId="LinkdaInternet">
    <w:name w:val="Link da Internet"/>
    <w:rPr>
      <w:color w:val="0000FF"/>
      <w:u w:val="single"/>
    </w:rPr>
  </w:style>
  <w:style w:type="character" w:styleId="Fontepargpadro">
    <w:name w:val="Fonte parág. padrão"/>
    <w:qFormat/>
    <w:rPr/>
  </w:style>
  <w:style w:type="character" w:styleId="ListLabel1">
    <w:name w:val="ListLabel 1"/>
    <w:qFormat/>
    <w:rPr>
      <w:rFonts w:ascii="Times New Roman" w:hAnsi="Times New Roman" w:cs="Times New Roman"/>
      <w:sz w:val="22"/>
      <w:szCs w:val="22"/>
    </w:rPr>
  </w:style>
  <w:style w:type="character" w:styleId="ListLabel33">
    <w:name w:val="ListLabel 33"/>
    <w:qFormat/>
    <w:rPr>
      <w:rFonts w:cs="Symbol"/>
    </w:rPr>
  </w:style>
  <w:style w:type="character" w:styleId="ListLabel34">
    <w:name w:val="ListLabel 34"/>
    <w:qFormat/>
    <w:rPr>
      <w:rFonts w:cs="OpenSymbol"/>
    </w:rPr>
  </w:style>
  <w:style w:type="character" w:styleId="ListLabel35">
    <w:name w:val="ListLabel 35"/>
    <w:qFormat/>
    <w:rPr>
      <w:rFonts w:cs="OpenSymbol"/>
    </w:rPr>
  </w:style>
  <w:style w:type="character" w:styleId="ListLabel36">
    <w:name w:val="ListLabel 36"/>
    <w:qFormat/>
    <w:rPr>
      <w:rFonts w:cs="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Symbol"/>
    </w:rPr>
  </w:style>
  <w:style w:type="character" w:styleId="ListLabel49">
    <w:name w:val="ListLabel 49"/>
    <w:qFormat/>
    <w:rPr>
      <w:rFonts w:cs="OpenSymbol"/>
    </w:rPr>
  </w:style>
  <w:style w:type="character" w:styleId="ListLabel50">
    <w:name w:val="ListLabel 50"/>
    <w:qFormat/>
    <w:rPr>
      <w:rFonts w:cs="OpenSymbol"/>
    </w:rPr>
  </w:style>
  <w:style w:type="character" w:styleId="Nfase">
    <w:name w:val="Ênfase"/>
    <w:qFormat/>
    <w:rPr>
      <w:i/>
      <w:iCs/>
    </w:rPr>
  </w:style>
  <w:style w:type="character" w:styleId="WW8Num2z0">
    <w:name w:val="WW8Num2z0"/>
    <w:qFormat/>
    <w:rPr>
      <w:rFonts w:ascii="Palatino Linotype" w:hAnsi="Palatino Linotype" w:eastAsia="Arial Unicode MS" w:cs="Palatino Linotype"/>
      <w:b/>
      <w:i w:val="false"/>
      <w:sz w:val="20"/>
      <w:szCs w:val="20"/>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ListLabel51">
    <w:name w:val="ListLabel 51"/>
    <w:qFormat/>
    <w:rPr>
      <w:rFonts w:ascii="Palatino Linotype" w:hAnsi="Palatino Linotype" w:eastAsia="Arial Unicode MS" w:cs="Palatino Linotype"/>
      <w:b/>
      <w:i w:val="false"/>
      <w:sz w:val="20"/>
      <w:szCs w:val="20"/>
    </w:rPr>
  </w:style>
  <w:style w:type="character" w:styleId="ListLabel52">
    <w:name w:val="ListLabel 52"/>
    <w:qFormat/>
    <w:rPr>
      <w:rFonts w:ascii="Palatino Linotype" w:hAnsi="Palatino Linotype" w:eastAsia="Arial Unicode MS" w:cs="Palatino Linotype"/>
      <w:b/>
      <w:i w:val="false"/>
      <w:sz w:val="20"/>
      <w:szCs w:val="20"/>
    </w:rPr>
  </w:style>
  <w:style w:type="character" w:styleId="ListLabel53">
    <w:name w:val="ListLabel 53"/>
    <w:qFormat/>
    <w:rPr>
      <w:rFonts w:ascii="Palatino Linotype" w:hAnsi="Palatino Linotype" w:eastAsia="Arial Unicode MS" w:cs="Palatino Linotype"/>
      <w:b/>
      <w:i w:val="false"/>
      <w:sz w:val="20"/>
      <w:szCs w:val="20"/>
    </w:rPr>
  </w:style>
  <w:style w:type="character" w:styleId="ListLabel54">
    <w:name w:val="ListLabel 54"/>
    <w:qFormat/>
    <w:rPr>
      <w:rFonts w:ascii="Palatino Linotype" w:hAnsi="Palatino Linotype" w:eastAsia="Arial Unicode MS" w:cs="Palatino Linotype"/>
      <w:b/>
      <w:i w:val="false"/>
      <w:sz w:val="20"/>
      <w:szCs w:val="20"/>
    </w:rPr>
  </w:style>
  <w:style w:type="character" w:styleId="ListLabel55">
    <w:name w:val="ListLabel 55"/>
    <w:qFormat/>
    <w:rPr>
      <w:rFonts w:eastAsia="Arial Unicode MS" w:cs="Palatino Linotype"/>
      <w:b/>
      <w:i w:val="false"/>
      <w:sz w:val="20"/>
      <w:szCs w:val="20"/>
    </w:rPr>
  </w:style>
  <w:style w:type="character" w:styleId="ListLabel56">
    <w:name w:val="ListLabel 56"/>
    <w:qFormat/>
    <w:rPr>
      <w:rFonts w:ascii="Palatino Linotype" w:hAnsi="Palatino Linotype" w:eastAsia="Arial Unicode MS" w:cs="Palatino Linotype"/>
      <w:b/>
      <w:i w:val="false"/>
      <w:sz w:val="20"/>
      <w:szCs w:val="20"/>
    </w:rPr>
  </w:style>
  <w:style w:type="character" w:styleId="ListLabel57">
    <w:name w:val="ListLabel 57"/>
    <w:qFormat/>
    <w:rPr>
      <w:rFonts w:ascii="Palatino Linotype" w:hAnsi="Palatino Linotype" w:eastAsia="Arial Unicode MS" w:cs="Palatino Linotype"/>
      <w:b/>
      <w:i w:val="false"/>
      <w:sz w:val="20"/>
      <w:szCs w:val="20"/>
    </w:rPr>
  </w:style>
  <w:style w:type="character" w:styleId="ListLabel58">
    <w:name w:val="ListLabel 58"/>
    <w:qFormat/>
    <w:rPr>
      <w:rFonts w:ascii="Palatino Linotype" w:hAnsi="Palatino Linotype" w:eastAsia="Arial Unicode MS" w:cs="Palatino Linotype"/>
      <w:b/>
      <w:i w:val="false"/>
      <w:sz w:val="20"/>
      <w:szCs w:val="20"/>
    </w:rPr>
  </w:style>
  <w:style w:type="character" w:styleId="ListLabel59">
    <w:name w:val="ListLabel 59"/>
    <w:qFormat/>
    <w:rPr>
      <w:rFonts w:ascii="Palatino Linotype" w:hAnsi="Palatino Linotype" w:eastAsia="Arial Unicode MS" w:cs="Palatino Linotype"/>
      <w:b/>
      <w:i w:val="false"/>
      <w:sz w:val="20"/>
      <w:szCs w:val="20"/>
    </w:rPr>
  </w:style>
  <w:style w:type="character" w:styleId="ListLabel60">
    <w:name w:val="ListLabel 60"/>
    <w:qFormat/>
    <w:rPr>
      <w:rFonts w:eastAsia="Arial Unicode MS" w:cs="Palatino Linotype"/>
      <w:b/>
      <w:i w:val="false"/>
      <w:sz w:val="20"/>
      <w:szCs w:val="20"/>
    </w:rPr>
  </w:style>
  <w:style w:type="character" w:styleId="ListLabel61">
    <w:name w:val="ListLabel 61"/>
    <w:qFormat/>
    <w:rPr>
      <w:rFonts w:ascii="Palatino Linotype" w:hAnsi="Palatino Linotype" w:eastAsia="Arial Unicode MS" w:cs="Palatino Linotype"/>
      <w:b/>
      <w:i w:val="false"/>
      <w:sz w:val="20"/>
      <w:szCs w:val="20"/>
    </w:rPr>
  </w:style>
  <w:style w:type="character" w:styleId="ListLabel62">
    <w:name w:val="ListLabel 62"/>
    <w:qFormat/>
    <w:rPr>
      <w:rFonts w:ascii="Palatino Linotype" w:hAnsi="Palatino Linotype" w:eastAsia="Arial Unicode MS" w:cs="Palatino Linotype"/>
      <w:b/>
      <w:i w:val="false"/>
      <w:sz w:val="20"/>
      <w:szCs w:val="20"/>
    </w:rPr>
  </w:style>
  <w:style w:type="character" w:styleId="ListLabel63">
    <w:name w:val="ListLabel 63"/>
    <w:qFormat/>
    <w:rPr>
      <w:rFonts w:ascii="Palatino Linotype" w:hAnsi="Palatino Linotype" w:eastAsia="Arial Unicode MS" w:cs="Palatino Linotype"/>
      <w:b/>
      <w:i w:val="false"/>
      <w:sz w:val="20"/>
      <w:szCs w:val="20"/>
    </w:rPr>
  </w:style>
  <w:style w:type="character" w:styleId="ListLabel64">
    <w:name w:val="ListLabel 64"/>
    <w:qFormat/>
    <w:rPr>
      <w:rFonts w:ascii="Palatino Linotype" w:hAnsi="Palatino Linotype" w:eastAsia="Arial Unicode MS" w:cs="Palatino Linotype"/>
      <w:b/>
      <w:i w:val="false"/>
      <w:sz w:val="20"/>
      <w:szCs w:val="20"/>
    </w:rPr>
  </w:style>
  <w:style w:type="character" w:styleId="ListLabel65">
    <w:name w:val="ListLabel 65"/>
    <w:qFormat/>
    <w:rPr>
      <w:rFonts w:eastAsia="Arial Unicode MS" w:cs="Palatino Linotype"/>
      <w:b/>
      <w:i w:val="false"/>
      <w:sz w:val="20"/>
      <w:szCs w:val="20"/>
    </w:rPr>
  </w:style>
  <w:style w:type="character" w:styleId="ListLabel66">
    <w:name w:val="ListLabel 66"/>
    <w:qFormat/>
    <w:rPr>
      <w:rFonts w:ascii="Palatino Linotype" w:hAnsi="Palatino Linotype" w:eastAsia="Arial Unicode MS" w:cs="Palatino Linotype"/>
      <w:b/>
      <w:i w:val="false"/>
      <w:sz w:val="20"/>
      <w:szCs w:val="20"/>
    </w:rPr>
  </w:style>
  <w:style w:type="character" w:styleId="ListLabel67">
    <w:name w:val="ListLabel 67"/>
    <w:qFormat/>
    <w:rPr>
      <w:rFonts w:ascii="Palatino Linotype" w:hAnsi="Palatino Linotype" w:eastAsia="Arial Unicode MS" w:cs="Palatino Linotype"/>
      <w:b/>
      <w:i w:val="false"/>
      <w:sz w:val="20"/>
      <w:szCs w:val="20"/>
    </w:rPr>
  </w:style>
  <w:style w:type="character" w:styleId="ListLabel68">
    <w:name w:val="ListLabel 68"/>
    <w:qFormat/>
    <w:rPr>
      <w:rFonts w:ascii="Palatino Linotype" w:hAnsi="Palatino Linotype" w:eastAsia="Arial Unicode MS" w:cs="Palatino Linotype"/>
      <w:b/>
      <w:i w:val="false"/>
      <w:sz w:val="20"/>
      <w:szCs w:val="20"/>
    </w:rPr>
  </w:style>
  <w:style w:type="character" w:styleId="ListLabel69">
    <w:name w:val="ListLabel 69"/>
    <w:qFormat/>
    <w:rPr>
      <w:rFonts w:ascii="Palatino Linotype" w:hAnsi="Palatino Linotype" w:eastAsia="Arial Unicode MS" w:cs="Palatino Linotype"/>
      <w:b/>
      <w:i w:val="false"/>
      <w:sz w:val="20"/>
      <w:szCs w:val="20"/>
    </w:rPr>
  </w:style>
  <w:style w:type="character" w:styleId="ListLabel70">
    <w:name w:val="ListLabel 70"/>
    <w:qFormat/>
    <w:rPr>
      <w:rFonts w:eastAsia="Arial Unicode MS" w:cs="Palatino Linotype"/>
      <w:b/>
      <w:i w:val="false"/>
      <w:sz w:val="20"/>
      <w:szCs w:val="20"/>
    </w:rPr>
  </w:style>
  <w:style w:type="character" w:styleId="ListLabel71">
    <w:name w:val="ListLabel 71"/>
    <w:qFormat/>
    <w:rPr>
      <w:rFonts w:ascii="Palatino Linotype" w:hAnsi="Palatino Linotype" w:eastAsia="Arial Unicode MS" w:cs="Palatino Linotype"/>
      <w:b/>
      <w:i w:val="false"/>
      <w:sz w:val="20"/>
      <w:szCs w:val="20"/>
    </w:rPr>
  </w:style>
  <w:style w:type="character" w:styleId="ListLabel72">
    <w:name w:val="ListLabel 72"/>
    <w:qFormat/>
    <w:rPr>
      <w:rFonts w:ascii="Palatino Linotype" w:hAnsi="Palatino Linotype" w:eastAsia="Arial Unicode MS" w:cs="Palatino Linotype"/>
      <w:b/>
      <w:i w:val="false"/>
      <w:sz w:val="20"/>
      <w:szCs w:val="20"/>
    </w:rPr>
  </w:style>
  <w:style w:type="character" w:styleId="ListLabel73">
    <w:name w:val="ListLabel 73"/>
    <w:qFormat/>
    <w:rPr>
      <w:rFonts w:ascii="Palatino Linotype" w:hAnsi="Palatino Linotype" w:eastAsia="Arial Unicode MS" w:cs="Palatino Linotype"/>
      <w:b/>
      <w:i w:val="false"/>
      <w:sz w:val="20"/>
      <w:szCs w:val="20"/>
    </w:rPr>
  </w:style>
  <w:style w:type="character" w:styleId="ListLabel74">
    <w:name w:val="ListLabel 74"/>
    <w:qFormat/>
    <w:rPr>
      <w:rFonts w:ascii="Palatino Linotype" w:hAnsi="Palatino Linotype" w:eastAsia="Arial Unicode MS" w:cs="Palatino Linotype"/>
      <w:b/>
      <w:i w:val="false"/>
      <w:sz w:val="20"/>
      <w:szCs w:val="20"/>
    </w:rPr>
  </w:style>
  <w:style w:type="character" w:styleId="ListLabel75">
    <w:name w:val="ListLabel 75"/>
    <w:qFormat/>
    <w:rPr>
      <w:rFonts w:eastAsia="Arial Unicode MS" w:cs="Palatino Linotype"/>
      <w:b/>
      <w:i w:val="false"/>
      <w:sz w:val="20"/>
      <w:szCs w:val="20"/>
    </w:rPr>
  </w:style>
  <w:style w:type="character" w:styleId="Smbolosdenumerao">
    <w:name w:val="Símbolos de numeração"/>
    <w:qFormat/>
    <w:rPr/>
  </w:style>
  <w:style w:type="paragraph" w:styleId="Ttulo">
    <w:name w:val="Título"/>
    <w:basedOn w:val="Normal"/>
    <w:next w:val="Corpodetexto"/>
    <w:qFormat/>
    <w:pPr>
      <w:keepNext w:val="true"/>
      <w:spacing w:before="240" w:after="120"/>
    </w:pPr>
    <w:rPr>
      <w:rFonts w:ascii="Liberation Sans" w:hAnsi="Liberation Sans" w:eastAsia="Microsoft YaHei" w:cs="Ari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Cabealho">
    <w:name w:val="Header"/>
    <w:basedOn w:val="Normal"/>
    <w:link w:val="CabealhoChar"/>
    <w:uiPriority w:val="99"/>
    <w:unhideWhenUsed/>
    <w:rsid w:val="004445e3"/>
    <w:pPr>
      <w:tabs>
        <w:tab w:val="center" w:pos="4252" w:leader="none"/>
        <w:tab w:val="right" w:pos="8504" w:leader="none"/>
      </w:tabs>
      <w:spacing w:lineRule="auto" w:line="240" w:before="0" w:after="0"/>
    </w:pPr>
    <w:rPr/>
  </w:style>
  <w:style w:type="paragraph" w:styleId="Rodap">
    <w:name w:val="Footer"/>
    <w:basedOn w:val="Normal"/>
    <w:link w:val="RodapChar"/>
    <w:uiPriority w:val="99"/>
    <w:unhideWhenUsed/>
    <w:rsid w:val="004445e3"/>
    <w:pPr>
      <w:tabs>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5760a9"/>
    <w:pPr>
      <w:spacing w:lineRule="auto" w:line="240" w:before="0" w:after="0"/>
    </w:pPr>
    <w:rPr>
      <w:rFonts w:ascii="Segoe UI" w:hAnsi="Segoe UI" w:cs="Segoe UI"/>
      <w:sz w:val="18"/>
      <w:szCs w:val="18"/>
    </w:rPr>
  </w:style>
  <w:style w:type="paragraph" w:styleId="Contedodoquadro">
    <w:name w:val="Conteúdo do quadro"/>
    <w:basedOn w:val="Normal"/>
    <w:qFormat/>
    <w:pPr/>
    <w:rPr/>
  </w:style>
  <w:style w:type="paragraph" w:styleId="Contedodatabela">
    <w:name w:val="Conteúdo da tabela"/>
    <w:basedOn w:val="Normal"/>
    <w:qFormat/>
    <w:pPr>
      <w:suppressLineNumbers/>
    </w:pPr>
    <w:rPr/>
  </w:style>
  <w:style w:type="paragraph" w:styleId="Ttulodetabela">
    <w:name w:val="Título de tabela"/>
    <w:basedOn w:val="Contedodatabela"/>
    <w:qFormat/>
    <w:pPr>
      <w:suppressLineNumbers/>
      <w:jc w:val="center"/>
    </w:pPr>
    <w:rPr>
      <w:b/>
      <w:bCs/>
    </w:rPr>
  </w:style>
  <w:style w:type="paragraph" w:styleId="PargrafodaLista">
    <w:name w:val="Parágrafo da Lista"/>
    <w:basedOn w:val="Normal"/>
    <w:qFormat/>
    <w:pPr>
      <w:ind w:left="708" w:right="0" w:hanging="0"/>
    </w:pPr>
    <w:rPr/>
  </w:style>
  <w:style w:type="paragraph" w:styleId="ListParagraph">
    <w:name w:val="List Paragraph"/>
    <w:basedOn w:val="Normal"/>
    <w:qFormat/>
    <w:pPr>
      <w:spacing w:before="0" w:after="160"/>
      <w:ind w:left="720" w:right="0" w:hanging="0"/>
      <w:contextualSpacing/>
    </w:pPr>
    <w:rPr/>
  </w:style>
  <w:style w:type="paragraph" w:styleId="Corpodotexto">
    <w:name w:val="Corpo do texto"/>
    <w:basedOn w:val="Normal"/>
    <w:qFormat/>
    <w:pPr>
      <w:spacing w:before="0" w:after="120"/>
    </w:pPr>
    <w:rPr/>
  </w:style>
  <w:style w:type="numbering" w:styleId="NoList" w:default="1">
    <w:name w:val="No List"/>
    <w:uiPriority w:val="99"/>
    <w:semiHidden/>
    <w:unhideWhenUsed/>
    <w:qFormat/>
  </w:style>
  <w:style w:type="numbering" w:styleId="WW8Num2">
    <w:name w:val="WW8Num2"/>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jpe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2CC7A-98B8-4138-9C01-8176A1826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 - ata</Template>
  <TotalTime>270</TotalTime>
  <Application>LibreOffice/6.0.2.1$Windows_X86_64 LibreOffice_project/f7f06a8f319e4b62f9bc5095aa112a65d2f3ac89</Application>
  <Pages>11</Pages>
  <Words>3703</Words>
  <Characters>21802</Characters>
  <CharactersWithSpaces>25272</CharactersWithSpaces>
  <Paragraphs>128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2018-03-22T14:38:00Z</dcterms:created>
  <dc:creator>Barbara Thais da Silva</dc:creator>
  <dc:description/>
  <dc:language>pt-BR</dc:language>
  <cp:lastModifiedBy/>
  <dcterms:modified xsi:type="dcterms:W3CDTF">2019-12-13T10:32:32Z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8</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