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media/image2.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76" w:before="0" w:after="120"/>
        <w:jc w:val="center"/>
        <w:rPr>
          <w:rFonts w:ascii="Times New Roman" w:hAnsi="Times New Roman" w:cs="Times New Roman"/>
          <w:b/>
          <w:b/>
          <w:lang w:eastAsia="ar-SA"/>
        </w:rPr>
      </w:pPr>
      <w:r>
        <w:rPr>
          <w:rFonts w:cs="Times New Roman" w:ascii="Times New Roman" w:hAnsi="Times New Roman"/>
          <w:b/>
          <w:lang w:eastAsia="ar-SA"/>
        </w:rPr>
        <w:t>PROJETO BÁSICO</w:t>
      </w:r>
    </w:p>
    <w:p>
      <w:pPr>
        <w:pStyle w:val="Normal"/>
        <w:spacing w:lineRule="auto" w:line="276" w:before="0" w:after="120"/>
        <w:jc w:val="center"/>
        <w:rPr>
          <w:rFonts w:ascii="Times New Roman" w:hAnsi="Times New Roman" w:cs="Times New Roman"/>
          <w:lang w:eastAsia="ar-SA"/>
        </w:rPr>
      </w:pPr>
      <w:r>
        <w:rPr>
          <w:rFonts w:cs="Times New Roman" w:ascii="Times New Roman" w:hAnsi="Times New Roman"/>
          <w:lang w:eastAsia="ar-SA"/>
        </w:rPr>
        <w:t>(OBRA DE ENGENHARIA)</w:t>
      </w:r>
    </w:p>
    <w:p>
      <w:pPr>
        <w:pStyle w:val="Normal"/>
        <w:numPr>
          <w:ilvl w:val="0"/>
          <w:numId w:val="2"/>
        </w:numPr>
        <w:spacing w:lineRule="auto" w:line="276" w:before="0" w:after="283"/>
        <w:jc w:val="both"/>
        <w:rPr>
          <w:rFonts w:ascii="Times New Roman" w:hAnsi="Times New Roman" w:cs="Times New Roman"/>
          <w:b/>
          <w:b/>
          <w:u w:val="single"/>
        </w:rPr>
      </w:pPr>
      <w:r>
        <w:rPr>
          <w:rFonts w:cs="Times New Roman" w:ascii="Times New Roman" w:hAnsi="Times New Roman"/>
          <w:b/>
          <w:u w:val="single"/>
        </w:rPr>
        <w:t>OBJETO</w:t>
      </w:r>
    </w:p>
    <w:p>
      <w:pPr>
        <w:pStyle w:val="Normal"/>
        <w:widowControl w:val="false"/>
        <w:numPr>
          <w:ilvl w:val="1"/>
          <w:numId w:val="2"/>
        </w:numPr>
        <w:spacing w:lineRule="auto" w:line="276" w:before="0" w:after="0"/>
        <w:jc w:val="both"/>
        <w:rPr/>
      </w:pPr>
      <w:r>
        <w:rPr>
          <w:rFonts w:cs="Times New Roman" w:ascii="Times New Roman" w:hAnsi="Times New Roman"/>
        </w:rPr>
        <w:t xml:space="preserve">Contratação de empresa especializada para execução de obra de engenharia referente a </w:t>
      </w:r>
      <w:r>
        <w:rPr>
          <w:rFonts w:eastAsia="Times New Roman" w:cs="" w:ascii="Times New Roman" w:hAnsi="Times New Roman"/>
          <w:b w:val="false"/>
          <w:bCs w:val="false"/>
          <w:i w:val="false"/>
          <w:strike w:val="false"/>
          <w:dstrike w:val="false"/>
          <w:outline w:val="false"/>
          <w:shadow w:val="false"/>
          <w:color w:val="000000"/>
          <w:kern w:val="0"/>
          <w:sz w:val="22"/>
          <w:szCs w:val="22"/>
          <w:u w:val="none"/>
          <w:shd w:fill="auto" w:val="clear"/>
          <w:em w:val="none"/>
          <w:lang w:val="pt-BR" w:eastAsia="en-US" w:bidi="ar-SA"/>
        </w:rPr>
        <w:t>Obras e Servi</w:t>
      </w:r>
      <w:r>
        <w:rPr>
          <w:rFonts w:eastAsia="Times New Roman" w:cs="" w:ascii="Times New Roman" w:hAnsi="Times New Roman"/>
          <w:b w:val="false"/>
          <w:bCs w:val="false"/>
          <w:i w:val="false"/>
          <w:strike w:val="false"/>
          <w:dstrike w:val="false"/>
          <w:outline w:val="false"/>
          <w:shadow w:val="false"/>
          <w:color w:val="000000"/>
          <w:kern w:val="0"/>
          <w:sz w:val="22"/>
          <w:szCs w:val="22"/>
          <w:u w:val="none"/>
          <w:shd w:fill="auto" w:val="clear"/>
          <w:em w:val="none"/>
          <w:lang w:val="pt-BR" w:eastAsia="en-US" w:bidi="ar-SA"/>
        </w:rPr>
        <w:t>ços de Construção de uma Escola no bairro Nilo Coelho, no Município de Arapiraca/AL.</w:t>
      </w:r>
    </w:p>
    <w:p>
      <w:pPr>
        <w:pStyle w:val="Normal"/>
        <w:widowControl w:val="false"/>
        <w:numPr>
          <w:ilvl w:val="0"/>
          <w:numId w:val="0"/>
        </w:numPr>
        <w:spacing w:lineRule="auto" w:line="276" w:before="0" w:after="0"/>
        <w:ind w:left="284" w:hanging="0"/>
        <w:jc w:val="both"/>
        <w:rPr>
          <w:rFonts w:ascii="Times New Roman" w:hAnsi="Times New Roman" w:eastAsia="Calibri" w:cs="Times New Roman"/>
          <w:b/>
          <w:b/>
          <w:bCs/>
          <w:i w:val="false"/>
          <w:i w:val="false"/>
          <w:strike w:val="false"/>
          <w:dstrike w:val="false"/>
          <w:outline w:val="false"/>
          <w:shadow w:val="false"/>
          <w:u w:val="none"/>
          <w:em w:val="none"/>
        </w:rPr>
      </w:pPr>
      <w:r>
        <w:rPr/>
      </w:r>
    </w:p>
    <w:p>
      <w:pPr>
        <w:pStyle w:val="Normal"/>
        <w:widowControl w:val="false"/>
        <w:spacing w:lineRule="auto" w:line="276" w:before="0" w:after="0"/>
        <w:ind w:left="284" w:hanging="0"/>
        <w:jc w:val="both"/>
        <w:rPr>
          <w:highlight w:val="none"/>
          <w:shd w:fill="auto" w:val="clear"/>
        </w:rPr>
      </w:pPr>
      <w:r>
        <w:rPr>
          <w:rFonts w:cs="Times New Roman" w:ascii="Times New Roman" w:hAnsi="Times New Roman"/>
          <w:shd w:fill="auto" w:val="clear"/>
        </w:rPr>
        <w:t>1.</w:t>
      </w:r>
      <w:r>
        <w:rPr>
          <w:rFonts w:cs="Times New Roman" w:ascii="Times New Roman" w:hAnsi="Times New Roman"/>
          <w:shd w:fill="auto" w:val="clear"/>
        </w:rPr>
        <w:t>2</w:t>
      </w:r>
      <w:r>
        <w:rPr>
          <w:rFonts w:cs="Times New Roman" w:ascii="Times New Roman" w:hAnsi="Times New Roman"/>
          <w:shd w:fill="auto" w:val="clear"/>
        </w:rPr>
        <w:t>. Os quantitativos e respectivos códigos dos itens são os discriminados nos anexos do Projeto Básico.</w:t>
      </w:r>
    </w:p>
    <w:p>
      <w:pPr>
        <w:pStyle w:val="Normal"/>
        <w:widowControl w:val="false"/>
        <w:spacing w:lineRule="auto" w:line="276" w:before="0" w:after="0"/>
        <w:ind w:left="284" w:hanging="0"/>
        <w:jc w:val="both"/>
        <w:rPr>
          <w:rFonts w:ascii="Times New Roman" w:hAnsi="Times New Roman" w:cs="Times New Roman"/>
        </w:rPr>
      </w:pPr>
      <w:r>
        <w:rPr>
          <w:shd w:fill="auto" w:val="clear"/>
        </w:rPr>
      </w:r>
    </w:p>
    <w:p>
      <w:pPr>
        <w:pStyle w:val="Normal"/>
        <w:widowControl w:val="false"/>
        <w:spacing w:lineRule="auto" w:line="276" w:before="0" w:after="0"/>
        <w:ind w:left="284" w:hanging="0"/>
        <w:jc w:val="both"/>
        <w:rPr/>
      </w:pPr>
      <w:r>
        <w:rPr>
          <w:rFonts w:cs="Times New Roman" w:ascii="Times New Roman" w:hAnsi="Times New Roman"/>
        </w:rPr>
        <w:t>1.</w:t>
      </w:r>
      <w:r>
        <w:rPr>
          <w:rFonts w:cs="Times New Roman" w:ascii="Times New Roman" w:hAnsi="Times New Roman"/>
        </w:rPr>
        <w:t>3</w:t>
      </w:r>
      <w:r>
        <w:rPr>
          <w:rFonts w:cs="Times New Roman" w:ascii="Times New Roman" w:hAnsi="Times New Roman"/>
        </w:rPr>
        <w:t>. O regime de execução do contrato será o de EMPREITADA POR PREÇO UNITÁRIO.</w:t>
      </w:r>
    </w:p>
    <w:p>
      <w:pPr>
        <w:pStyle w:val="Normal"/>
        <w:widowControl w:val="false"/>
        <w:spacing w:lineRule="auto" w:line="276" w:before="0" w:after="0"/>
        <w:ind w:left="284" w:hanging="0"/>
        <w:jc w:val="both"/>
        <w:rPr>
          <w:rFonts w:ascii="Times New Roman" w:hAnsi="Times New Roman" w:cs="Times New Roman"/>
        </w:rPr>
      </w:pPr>
      <w:r>
        <w:rPr/>
      </w:r>
    </w:p>
    <w:p>
      <w:pPr>
        <w:pStyle w:val="Normal"/>
        <w:numPr>
          <w:ilvl w:val="0"/>
          <w:numId w:val="2"/>
        </w:numPr>
        <w:spacing w:lineRule="auto" w:line="276" w:before="0" w:after="283"/>
        <w:jc w:val="both"/>
        <w:rPr>
          <w:rFonts w:ascii="Times New Roman" w:hAnsi="Times New Roman" w:cs="Times New Roman"/>
          <w:b/>
          <w:b/>
          <w:u w:val="single"/>
        </w:rPr>
      </w:pPr>
      <w:r>
        <w:rPr>
          <w:rFonts w:cs="Times New Roman" w:ascii="Times New Roman" w:hAnsi="Times New Roman"/>
          <w:b/>
          <w:u w:val="single"/>
        </w:rPr>
        <w:t>VISTORIA</w:t>
      </w:r>
    </w:p>
    <w:p>
      <w:pPr>
        <w:pStyle w:val="Normal"/>
        <w:widowControl w:val="false"/>
        <w:spacing w:lineRule="auto" w:line="276" w:before="0" w:after="283"/>
        <w:ind w:left="284" w:hanging="0"/>
        <w:jc w:val="both"/>
        <w:rPr>
          <w:rFonts w:ascii="Times New Roman" w:hAnsi="Times New Roman" w:cs="Times New Roman"/>
        </w:rPr>
      </w:pPr>
      <w:r>
        <w:rPr>
          <w:rFonts w:cs="Times New Roman" w:ascii="Times New Roman" w:hAnsi="Times New Roman"/>
        </w:rPr>
        <w:t>No ato da vistoria facultativa, as licitantes devem inteirar-se das condições e do grau de dificuldade dos serviços, não se admitindo, posteriormente, qualquer alegação de desconhecimento dos mesmos, caso opte por não vistoriar na companhia de servidor da Secretaria Municipal de Infraestrutura, deverá declarar que conhece ou verificou todas as dificuldades existentes e se responsabiliza, sob pena de lei, pela execução de serviços nas condições em que se encontra.</w:t>
      </w:r>
    </w:p>
    <w:p>
      <w:pPr>
        <w:pStyle w:val="Normal"/>
        <w:numPr>
          <w:ilvl w:val="0"/>
          <w:numId w:val="2"/>
        </w:numPr>
        <w:spacing w:lineRule="auto" w:line="276" w:before="0" w:after="283"/>
        <w:jc w:val="both"/>
        <w:rPr>
          <w:rFonts w:ascii="Times New Roman" w:hAnsi="Times New Roman" w:cs="Times New Roman"/>
          <w:b/>
          <w:b/>
          <w:u w:val="single"/>
        </w:rPr>
      </w:pPr>
      <w:r>
        <w:rPr>
          <w:rFonts w:cs="Times New Roman" w:ascii="Times New Roman" w:hAnsi="Times New Roman"/>
          <w:b/>
          <w:u w:val="single"/>
        </w:rPr>
        <w:t>EXECUÇÃO DOS SERVIÇOS E SEU RECEBIMENTO</w:t>
      </w:r>
    </w:p>
    <w:p>
      <w:pPr>
        <w:pStyle w:val="Normal"/>
        <w:numPr>
          <w:ilvl w:val="1"/>
          <w:numId w:val="2"/>
        </w:numPr>
        <w:spacing w:lineRule="auto" w:line="276" w:before="0" w:after="283"/>
        <w:jc w:val="both"/>
        <w:rPr>
          <w:rFonts w:ascii="Times New Roman" w:hAnsi="Times New Roman" w:cs="Times New Roman"/>
          <w:iCs/>
          <w:color w:val="000000"/>
        </w:rPr>
      </w:pPr>
      <w:r>
        <w:rPr>
          <w:rFonts w:cs="Times New Roman" w:ascii="Times New Roman" w:hAnsi="Times New Roman"/>
          <w:iCs/>
          <w:color w:val="000000"/>
        </w:rPr>
        <w:t>A execução dos serviços será iniciada após o recebimento da Ordem de Serviços pela Contratada, cujas etapas observarão o cronograma constante em anexo a este instrumento;</w:t>
      </w:r>
    </w:p>
    <w:p>
      <w:pPr>
        <w:pStyle w:val="Normal"/>
        <w:numPr>
          <w:ilvl w:val="1"/>
          <w:numId w:val="2"/>
        </w:numPr>
        <w:spacing w:lineRule="auto" w:line="276" w:before="0" w:after="283"/>
        <w:jc w:val="both"/>
        <w:rPr>
          <w:rFonts w:ascii="Times New Roman" w:hAnsi="Times New Roman" w:cs="Times New Roman"/>
          <w:iCs/>
          <w:color w:val="000000"/>
        </w:rPr>
      </w:pPr>
      <w:r>
        <w:rPr>
          <w:rFonts w:cs="Times New Roman" w:ascii="Times New Roman" w:hAnsi="Times New Roman"/>
          <w:iCs/>
          <w:color w:val="000000"/>
        </w:rPr>
        <w:t>Quando os serviços contratados forem concluídos, caberá à Contratada apresentar comunicação escrita informando o fato à fiscalização da Contratante, a qual competirá, no prazo de até 10 (dez) dias, a verificação dos serviços executados, para fins de recebimento provisório;</w:t>
      </w:r>
    </w:p>
    <w:p>
      <w:pPr>
        <w:pStyle w:val="Normal"/>
        <w:numPr>
          <w:ilvl w:val="2"/>
          <w:numId w:val="2"/>
        </w:numPr>
        <w:spacing w:lineRule="auto" w:line="276" w:before="0" w:after="283"/>
        <w:ind w:left="567" w:hanging="0"/>
        <w:jc w:val="both"/>
        <w:rPr>
          <w:rFonts w:ascii="Times New Roman" w:hAnsi="Times New Roman" w:cs="Times New Roman"/>
        </w:rPr>
      </w:pPr>
      <w:r>
        <w:rPr>
          <w:rFonts w:cs="Times New Roman" w:ascii="Times New Roman" w:hAnsi="Times New Roman"/>
        </w:rPr>
        <w:t>O recebimento provisório também ficará sujeito, quando cabível, à conclusão de todos os testes de campo e à entrega dos Manuais e Instruções exigíveis;</w:t>
      </w:r>
    </w:p>
    <w:p>
      <w:pPr>
        <w:pStyle w:val="Normal"/>
        <w:numPr>
          <w:ilvl w:val="1"/>
          <w:numId w:val="2"/>
        </w:numPr>
        <w:spacing w:lineRule="auto" w:line="276" w:before="0" w:after="283"/>
        <w:jc w:val="both"/>
        <w:rPr>
          <w:rFonts w:ascii="Times New Roman" w:hAnsi="Times New Roman" w:cs="Times New Roman"/>
          <w:iCs/>
          <w:color w:val="000000"/>
        </w:rPr>
      </w:pPr>
      <w:r>
        <w:rPr>
          <w:rFonts w:cs="Times New Roman" w:ascii="Times New Roman" w:hAnsi="Times New Roman"/>
          <w:iCs/>
          <w:color w:val="000000"/>
        </w:rPr>
        <w:t>A Contratante realizará inspeção minuciosa de todos os serviços executados, por meio de profissionais técnicos competentes, acompanhados dos profissionais encarregados pela obra, com a finalidade de verificar a adequação dos serviços e constatar e relacionar os arremates, retoques e revisões finais que se fizerem necessários;</w:t>
      </w:r>
    </w:p>
    <w:p>
      <w:pPr>
        <w:pStyle w:val="Normal"/>
        <w:numPr>
          <w:ilvl w:val="2"/>
          <w:numId w:val="2"/>
        </w:numPr>
        <w:spacing w:lineRule="auto" w:line="276" w:before="0" w:after="283"/>
        <w:ind w:left="567" w:hanging="0"/>
        <w:jc w:val="both"/>
        <w:rPr>
          <w:rFonts w:ascii="Times New Roman" w:hAnsi="Times New Roman" w:cs="Times New Roman"/>
        </w:rPr>
      </w:pPr>
      <w:r>
        <w:rPr>
          <w:rFonts w:cs="Times New Roman" w:ascii="Times New Roman" w:hAnsi="Times New Roman"/>
        </w:rPr>
        <w:t>Após tal inspeção, será lavrado Termo de Recebimento Provisório, em 02 (duas) vias de igual teor e forma, ambas assinadas pela comissão de Recebimento, relatando as eventuais pendências verificadas;</w:t>
      </w:r>
    </w:p>
    <w:p>
      <w:pPr>
        <w:pStyle w:val="Normal"/>
        <w:numPr>
          <w:ilvl w:val="2"/>
          <w:numId w:val="2"/>
        </w:numPr>
        <w:spacing w:lineRule="auto" w:line="276" w:before="0" w:after="283"/>
        <w:ind w:left="567" w:hanging="0"/>
        <w:jc w:val="both"/>
        <w:rPr>
          <w:rFonts w:ascii="Times New Roman" w:hAnsi="Times New Roman" w:cs="Times New Roman"/>
        </w:rPr>
      </w:pPr>
      <w:r>
        <w:rPr>
          <w:rFonts w:cs="Times New Roman" w:ascii="Times New Roman" w:hAnsi="Times New Roman"/>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Termo de Recebimento Provisório;</w:t>
      </w:r>
    </w:p>
    <w:p>
      <w:pPr>
        <w:pStyle w:val="Normal"/>
        <w:numPr>
          <w:ilvl w:val="1"/>
          <w:numId w:val="2"/>
        </w:numPr>
        <w:spacing w:lineRule="auto" w:line="276" w:before="0" w:after="360"/>
        <w:jc w:val="both"/>
        <w:rPr>
          <w:rFonts w:ascii="Times New Roman" w:hAnsi="Times New Roman" w:cs="Times New Roman"/>
          <w:iCs/>
          <w:color w:val="000000"/>
        </w:rPr>
      </w:pPr>
      <w:r>
        <w:rPr>
          <w:rFonts w:cs="Times New Roman" w:ascii="Times New Roman" w:hAnsi="Times New Roman"/>
          <w:iCs/>
          <w:color w:val="000000"/>
        </w:rPr>
        <w:t>O Termo de Recebimento Definitivo dos serviços contratados será lavrado em até 90 (noventa.) dias após a lavratura do Termo de Recebimento Provisório, por servidor ou comissão designada pela autoridade competente, desde que tenham sido devidamente atendidas todas as exigências da fiscalização quanto às pendências observadas e somente após solucionadas todas as reclamações porventura feitas quanto à falta de pagamento a operários ou fornecedores de materiais e prestadores de serviços empregados na execução do contrato;</w:t>
      </w:r>
    </w:p>
    <w:p>
      <w:pPr>
        <w:pStyle w:val="Normal"/>
        <w:numPr>
          <w:ilvl w:val="2"/>
          <w:numId w:val="2"/>
        </w:numPr>
        <w:spacing w:lineRule="auto" w:line="276" w:before="0" w:after="360"/>
        <w:ind w:left="567" w:hanging="0"/>
        <w:jc w:val="both"/>
        <w:rPr>
          <w:rFonts w:ascii="Times New Roman" w:hAnsi="Times New Roman" w:cs="Times New Roman"/>
          <w:lang w:eastAsia="ar-SA"/>
        </w:rPr>
      </w:pPr>
      <w:r>
        <w:rPr>
          <w:rFonts w:cs="Times New Roman" w:ascii="Times New Roman" w:hAnsi="Times New Roman"/>
          <w:lang w:eastAsia="ar-SA"/>
        </w:rPr>
        <w:t>Na hipótese de a verificação a que se refere o parágrafo anterior não ser procedida tempestivamente, reputar-se-á como realizada, consumando-se o recebimento definitivo no dia do esgotamento do prazo, desde que o fato seja comunicado à Contratante nos 15 (quinze) dias anteriores à exaustão do prazo;</w:t>
      </w:r>
    </w:p>
    <w:p>
      <w:pPr>
        <w:pStyle w:val="Normal"/>
        <w:numPr>
          <w:ilvl w:val="2"/>
          <w:numId w:val="2"/>
        </w:numPr>
        <w:spacing w:lineRule="auto" w:line="276" w:before="0" w:after="360"/>
        <w:ind w:left="567" w:hanging="0"/>
        <w:jc w:val="both"/>
        <w:rPr>
          <w:rFonts w:ascii="Times New Roman" w:hAnsi="Times New Roman" w:cs="Times New Roman"/>
          <w:lang w:eastAsia="ar-SA"/>
        </w:rPr>
      </w:pPr>
      <w:r>
        <w:rPr>
          <w:rFonts w:cs="Times New Roman" w:ascii="Times New Roman" w:hAnsi="Times New Roman"/>
          <w:lang w:eastAsia="ar-SA"/>
        </w:rPr>
        <w:t>O recebimento definitivo do objeto licitado não exime a Contratada, em qualquer época, das garantias concedidas e das responsabilidades assumidas em contrato e por força das disposições legais em vigor (Lei n° 10.406, de 2002);</w:t>
      </w:r>
    </w:p>
    <w:p>
      <w:pPr>
        <w:pStyle w:val="Normal"/>
        <w:numPr>
          <w:ilvl w:val="1"/>
          <w:numId w:val="2"/>
        </w:numPr>
        <w:spacing w:lineRule="auto" w:line="276" w:before="0" w:after="360"/>
        <w:jc w:val="both"/>
        <w:rPr>
          <w:rFonts w:ascii="Times New Roman" w:hAnsi="Times New Roman" w:cs="Times New Roman"/>
          <w:lang w:eastAsia="ar-SA"/>
        </w:rPr>
      </w:pPr>
      <w:r>
        <w:rPr>
          <w:rFonts w:cs="Times New Roman" w:ascii="Times New Roman" w:hAnsi="Times New Roman"/>
          <w:lang w:eastAsia="ar-SA"/>
        </w:rPr>
        <w:t>Os serviços poderão ser rejeitados, no todo ou em parte, quando em desacordo com as especificações constantes neste Projeto Básico e na proposta, devendo ser corrigidos/refeitos/substituídos no prazo fixado pelo fiscal do contrato, às custas da contratada, sem prejuízo da aplicação de penalidades.</w:t>
      </w:r>
    </w:p>
    <w:p>
      <w:pPr>
        <w:pStyle w:val="Normal"/>
        <w:numPr>
          <w:ilvl w:val="0"/>
          <w:numId w:val="2"/>
        </w:numPr>
        <w:spacing w:lineRule="auto" w:line="276" w:before="0" w:after="360"/>
        <w:jc w:val="both"/>
        <w:rPr>
          <w:rFonts w:ascii="Times New Roman" w:hAnsi="Times New Roman" w:cs="Times New Roman"/>
          <w:b/>
          <w:b/>
          <w:u w:val="single"/>
        </w:rPr>
      </w:pPr>
      <w:r>
        <w:rPr>
          <w:rFonts w:cs="Times New Roman" w:ascii="Times New Roman" w:hAnsi="Times New Roman"/>
          <w:b/>
          <w:u w:val="single"/>
        </w:rPr>
        <w:t>OBRIGAÇÕES DA CONTRATANTE</w:t>
      </w:r>
    </w:p>
    <w:p>
      <w:pPr>
        <w:pStyle w:val="Normal"/>
        <w:numPr>
          <w:ilvl w:val="1"/>
          <w:numId w:val="2"/>
        </w:numPr>
        <w:spacing w:lineRule="auto" w:line="276" w:before="0" w:after="360"/>
        <w:jc w:val="both"/>
        <w:rPr>
          <w:rFonts w:ascii="Times New Roman" w:hAnsi="Times New Roman" w:cs="Times New Roman"/>
          <w:lang w:eastAsia="ar-SA"/>
        </w:rPr>
      </w:pPr>
      <w:r>
        <w:rPr>
          <w:rFonts w:cs="Times New Roman" w:ascii="Times New Roman" w:hAnsi="Times New Roman"/>
          <w:lang w:eastAsia="ar-SA"/>
        </w:rPr>
        <w:t>Exigir o cumprimento de todas as obrigações assumidas pela Contratada, de acordo com as cláusulas contratuais e os termos de sua proposta;</w:t>
      </w:r>
    </w:p>
    <w:p>
      <w:pPr>
        <w:pStyle w:val="Normal"/>
        <w:numPr>
          <w:ilvl w:val="1"/>
          <w:numId w:val="2"/>
        </w:numPr>
        <w:spacing w:lineRule="auto" w:line="276" w:before="0" w:after="360"/>
        <w:jc w:val="both"/>
        <w:rPr>
          <w:rFonts w:ascii="Times New Roman" w:hAnsi="Times New Roman" w:cs="Times New Roman"/>
          <w:lang w:eastAsia="ar-SA"/>
        </w:rPr>
      </w:pPr>
      <w:r>
        <w:rPr>
          <w:rFonts w:cs="Times New Roman" w:ascii="Times New Roman" w:hAnsi="Times New Roman"/>
          <w:lang w:eastAsia="ar-SA"/>
        </w:rPr>
        <w:t>Exercer o acompanhamento e a fiscalização dos serviços, por servidor ou comissão especialmente designada, anotando em registro próprio as falhas detectadas, indicando dia, mês e ano, bem como o nome dos empregados eventualmente envolvidos, encaminhando os apontamentos à autoridade competente para as providências cabíveis;</w:t>
      </w:r>
    </w:p>
    <w:p>
      <w:pPr>
        <w:pStyle w:val="Normal"/>
        <w:numPr>
          <w:ilvl w:val="1"/>
          <w:numId w:val="2"/>
        </w:numPr>
        <w:spacing w:lineRule="auto" w:line="276" w:before="0" w:after="360"/>
        <w:jc w:val="both"/>
        <w:rPr>
          <w:rFonts w:ascii="Times New Roman" w:hAnsi="Times New Roman" w:cs="Times New Roman"/>
          <w:lang w:eastAsia="ar-SA"/>
        </w:rPr>
      </w:pPr>
      <w:r>
        <w:rPr>
          <w:rFonts w:cs="Times New Roman" w:ascii="Times New Roman" w:hAnsi="Times New Roman"/>
          <w:lang w:eastAsia="ar-SA"/>
        </w:rPr>
        <w:t>Notificar a Contratada por escrito da ocorrência de eventuais imperfeições, falhas ou irregularidades constatadas no curso da execução dos serviços, fixando prazo para a sua correção, certificando-se de que as soluções por ela propostas sejam as mais adequadas;</w:t>
      </w:r>
    </w:p>
    <w:p>
      <w:pPr>
        <w:pStyle w:val="Normal"/>
        <w:numPr>
          <w:ilvl w:val="1"/>
          <w:numId w:val="2"/>
        </w:numPr>
        <w:spacing w:lineRule="auto" w:line="276" w:before="0" w:after="360"/>
        <w:jc w:val="both"/>
        <w:rPr>
          <w:rFonts w:ascii="Times New Roman" w:hAnsi="Times New Roman" w:cs="Times New Roman"/>
          <w:lang w:eastAsia="ar-SA"/>
        </w:rPr>
      </w:pPr>
      <w:r>
        <w:rPr>
          <w:rFonts w:cs="Times New Roman" w:ascii="Times New Roman" w:hAnsi="Times New Roman"/>
          <w:lang w:eastAsia="ar-SA"/>
        </w:rPr>
        <w:t>Pagar à Contratada o valor resultante da prestação do serviço, conforme cronograma físico-financeiro ou disponibilidade financeira administrativa.</w:t>
      </w:r>
    </w:p>
    <w:p>
      <w:pPr>
        <w:pStyle w:val="Normal"/>
        <w:numPr>
          <w:ilvl w:val="1"/>
          <w:numId w:val="2"/>
        </w:numPr>
        <w:spacing w:lineRule="auto" w:line="276" w:before="0" w:after="360"/>
        <w:jc w:val="both"/>
        <w:rPr>
          <w:rFonts w:ascii="Times New Roman" w:hAnsi="Times New Roman" w:cs="Times New Roman"/>
          <w:lang w:eastAsia="ar-SA"/>
        </w:rPr>
      </w:pPr>
      <w:r>
        <w:rPr>
          <w:rFonts w:cs="Times New Roman" w:ascii="Times New Roman" w:hAnsi="Times New Roman"/>
          <w:lang w:eastAsia="ar-SA"/>
        </w:rPr>
        <w:t>Efetuar as retenções tributárias devidas sobre o valor da fatura de serviços da Contratada, em conformidade com a legislação em vigor;</w:t>
      </w:r>
    </w:p>
    <w:p>
      <w:pPr>
        <w:pStyle w:val="Normal"/>
        <w:numPr>
          <w:ilvl w:val="1"/>
          <w:numId w:val="2"/>
        </w:numPr>
        <w:spacing w:lineRule="auto" w:line="276" w:before="0" w:after="360"/>
        <w:jc w:val="both"/>
        <w:rPr>
          <w:rFonts w:ascii="Times New Roman" w:hAnsi="Times New Roman" w:cs="Times New Roman"/>
          <w:lang w:eastAsia="ar-SA"/>
        </w:rPr>
      </w:pPr>
      <w:r>
        <w:rPr>
          <w:rFonts w:cs="Times New Roman" w:ascii="Times New Roman" w:hAnsi="Times New Roman"/>
          <w:lang w:eastAsia="ar-SA"/>
        </w:rPr>
        <w:t>Fornecer por escrito as informações necessárias para o desenvolvimento dos serviços objeto do contrato;</w:t>
      </w:r>
    </w:p>
    <w:p>
      <w:pPr>
        <w:pStyle w:val="Normal"/>
        <w:numPr>
          <w:ilvl w:val="1"/>
          <w:numId w:val="2"/>
        </w:numPr>
        <w:spacing w:lineRule="auto" w:line="276" w:before="0" w:after="360"/>
        <w:jc w:val="both"/>
        <w:rPr>
          <w:rFonts w:ascii="Times New Roman" w:hAnsi="Times New Roman" w:cs="Times New Roman"/>
          <w:lang w:eastAsia="ar-SA"/>
        </w:rPr>
      </w:pPr>
      <w:r>
        <w:rPr>
          <w:rFonts w:cs="Times New Roman" w:ascii="Times New Roman" w:hAnsi="Times New Roman"/>
          <w:lang w:eastAsia="ar-SA"/>
        </w:rPr>
        <w:t>Realizar avaliações periódicas da qualidade dos serviços, após seu recebimento;</w:t>
      </w:r>
    </w:p>
    <w:p>
      <w:pPr>
        <w:pStyle w:val="Normal"/>
        <w:numPr>
          <w:ilvl w:val="1"/>
          <w:numId w:val="2"/>
        </w:numPr>
        <w:spacing w:lineRule="auto" w:line="276" w:before="0" w:after="360"/>
        <w:jc w:val="both"/>
        <w:rPr>
          <w:rFonts w:ascii="Times New Roman" w:hAnsi="Times New Roman" w:cs="Times New Roman"/>
          <w:lang w:eastAsia="ar-SA"/>
        </w:rPr>
      </w:pPr>
      <w:r>
        <w:rPr>
          <w:rFonts w:cs="Times New Roman" w:ascii="Times New Roman" w:hAnsi="Times New Roman"/>
          <w:lang w:eastAsia="ar-SA"/>
        </w:rPr>
        <w:t>Cientificar o órgão de representação judicial da Administração para adoção das medidas cabíveis quando do descumprimento das obrigações pela Contratada;</w:t>
      </w:r>
    </w:p>
    <w:p>
      <w:pPr>
        <w:pStyle w:val="Normal"/>
        <w:numPr>
          <w:ilvl w:val="1"/>
          <w:numId w:val="2"/>
        </w:numPr>
        <w:spacing w:lineRule="auto" w:line="276" w:before="0" w:after="360"/>
        <w:jc w:val="both"/>
        <w:rPr>
          <w:rFonts w:ascii="Times New Roman" w:hAnsi="Times New Roman" w:cs="Times New Roman"/>
          <w:lang w:eastAsia="ar-SA"/>
        </w:rPr>
      </w:pPr>
      <w:r>
        <w:rPr>
          <w:rFonts w:cs="Times New Roman" w:ascii="Times New Roman" w:hAnsi="Times New Roman"/>
          <w:lang w:eastAsia="ar-SA"/>
        </w:rPr>
        <w:t>Arquivamento, entre outros documentos, de projetos, "as built", especificações técnicas, orçamentos, termos de recebimento, contratos e aditamentos, relatórios de inspeções técnicas após o recebimento do serviço e notificações expedidas;</w:t>
      </w:r>
    </w:p>
    <w:p>
      <w:pPr>
        <w:pStyle w:val="Normal"/>
        <w:numPr>
          <w:ilvl w:val="1"/>
          <w:numId w:val="2"/>
        </w:numPr>
        <w:spacing w:lineRule="auto" w:line="276" w:before="0" w:after="360"/>
        <w:jc w:val="both"/>
        <w:rPr>
          <w:rFonts w:ascii="Times New Roman" w:hAnsi="Times New Roman" w:cs="Times New Roman"/>
          <w:lang w:eastAsia="ar-SA"/>
        </w:rPr>
      </w:pPr>
      <w:r>
        <w:rPr>
          <w:rFonts w:cs="Times New Roman" w:ascii="Times New Roman" w:hAnsi="Times New Roman"/>
          <w:lang w:eastAsia="ar-SA"/>
        </w:rPr>
        <w:t>Exigir da Contratada que providencie a seguinte documentação como condição indispensável para o recebimento definitivo de objeto, quando for o caso:</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w:t>
      </w:r>
      <w:r>
        <w:rPr>
          <w:rFonts w:cs="Times New Roman" w:ascii="Times New Roman" w:hAnsi="Times New Roman"/>
          <w:i/>
        </w:rPr>
        <w:t>as built</w:t>
      </w:r>
      <w:r>
        <w:rPr>
          <w:rFonts w:cs="Times New Roman" w:ascii="Times New Roman" w:hAnsi="Times New Roman"/>
        </w:rPr>
        <w:t>", elaborado pelo responsável por sua execução;</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comprovação das ligações definitivas de energia, água, telefone e gás;</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laudo de vistoria do corpo de bombeiros aprovando o serviço;</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carta "habite-se", emitida pela prefeitura;</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certidão negativa de débitos previdenciários específica para o registro da obra junto ao Cartório de Registro de Imóveis;</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a reparação dos vícios verificados dentro do prazo de garantia do serviço, tendo em vista o direito assegurado à Contratante no art. 69 da Lei nº 8.666/93 e no art. 12 da Lei nº 8.078/90 (Código de Defesa do Consumidor).</w:t>
      </w:r>
    </w:p>
    <w:p>
      <w:pPr>
        <w:pStyle w:val="Normal"/>
        <w:numPr>
          <w:ilvl w:val="0"/>
          <w:numId w:val="2"/>
        </w:numPr>
        <w:spacing w:lineRule="auto" w:line="276" w:before="0" w:after="360"/>
        <w:jc w:val="both"/>
        <w:rPr>
          <w:rFonts w:ascii="Times New Roman" w:hAnsi="Times New Roman" w:cs="Times New Roman"/>
          <w:b/>
          <w:b/>
          <w:u w:val="single"/>
        </w:rPr>
      </w:pPr>
      <w:r>
        <w:rPr>
          <w:rFonts w:cs="Times New Roman" w:ascii="Times New Roman" w:hAnsi="Times New Roman"/>
          <w:b/>
          <w:u w:val="single"/>
        </w:rPr>
        <w:t>OBRIGAÇÕES DA CONTRATADA</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color w:val="000000"/>
        </w:rPr>
        <w:t xml:space="preserve">Executar os serviços conforme especificações deste Projeto Básico e de sua proposta, com a alocação dos empregados necessários ao perfeito cumprimento das cláusulas contratuais, </w:t>
      </w:r>
      <w:r>
        <w:rPr>
          <w:rFonts w:cs="Times New Roman" w:ascii="Times New Roman" w:hAnsi="Times New Roman"/>
        </w:rPr>
        <w:t>além de fornecer e utilizar os materiais e equipamentos, ferramentas e utensílios necessários, na qualidade e quantidade mínimas especificadas neste instrumento e em sua proposta</w:t>
      </w:r>
      <w:r>
        <w:rPr>
          <w:rFonts w:cs="Times New Roman" w:ascii="Times New Roman" w:hAnsi="Times New Roman"/>
          <w:color w:val="000000"/>
        </w:rPr>
        <w:t>;</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Reparar, corrigir, remover ou substituir, às suas expensas, no total ou em parte, no prazo fixado pelo fiscal do contrato, os serviços efetuados em que se verificarem vícios, defeitos ou incorreções resultantes da execução ou dos materiais empregados;</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Manter os empregados nos horários predeterminados pela Contratante;</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Responsabilizar-se pelos vícios e danos decorrentes da execução do objeto, de acordo com os artigos 14 e 17 a 27, do Código de Defesa do Consumidor (Lei nº 8.078, de 1990), ficando a Contratante autorizada a descontar da garantia prestada, caso exigida no edital, ou dos pagamentos devidos à Contratada, o valor correspondente aos danos sofridos;</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Utilizar empregados habilitados e com conhecimentos básicos dos serviços a serem executados, em conformidade com as normas e determinações em vigor;</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Apresentar os empregados devidamente identificados por meio de crachá, além de provê-los com os Equipamentos de Proteção Individual - EPI;</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Apresentar à Contratante, quando for o caso, a relação nominal dos empregados que adentrarão no órgão para a execução do serviço;</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Responsabilizar-se por todas as obrigações trabalhistas, sociais, previdenciárias, tributárias e as demais previstas na legislação específica, cuja inadimplência não transfere responsabilidade à Contratante;</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Apresentar, quando solicitado pela Administração, atestado de antecedentes criminais e distribuição cível de toda a mão de obra oferecida para atuar nas instalações do órgão;</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Atender às solicitações da Contratante quanto à substituição dos empregados alocados, no prazo fixado pela fiscalização do contrato, nos casos em que ficar constatado descumprimento das obrigações relativas à execução do serviço, conforme descrito neste instrumento;</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Instruir seus empregados quanto à necessidade de acatar as Normas Internas da Contratante;</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Instruir seus empregados a respeito das atividades a serem desempenhadas, alertando-os a não executarem atividades não abrangidas pelo contrato, devendo a Contratada relatar à Contratante toda e qualquer ocorrência neste sentido, a fim de evitar desvio de função;</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Relatar à Contratante toda e qualquer irregularidade verificada no decorrer da prestação dos serviços;</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Não permitir a utilização de qualquer trabalho de menor de dezesseis anos, exceto na condição de aprendiz para os maiores de quatorze anos; nem permitir a utilização do trabalho do menor de dezoito anos em trabalho noturno, perigoso ou insalubre;</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Manter durante toda a vigência do contrato, em compatibilidade com as obrigações assumidas, todas as condições de habilitação e qualificação exigidas na licitação;</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Guardar sigilo sobre todas as informações obtidas em decorrência do cumprimento do contrato;</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Manter preposto aceito pela Contratante nos horários e locais de prestação de serviço para representá-la na execução do contrato com capacidade para tomar decisões compatíveis com os compromissos assumidos;</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Cumprir, além dos postulados legais vigentes de âmbito federal, estadual ou municipal, as normas de segurança da Contratante;</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Instruir os seus empregados, quanto à prevenção de incêndios nas áreas da Contratante;</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Comunicar ao Fiscal do contrato, no prazo de 24 (vinte e quatro) horas, qualquer ocorrência anormal ou acidente que se verifique no local dos serviços;</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Prestar todo esclarecimento ou informação solicitada pela Contratante ou por seus prepostos, garantindo-lhes o acesso, a qualquer tempo, ao local dos trabalhos, bem como aos documentos relativos à execução do empreendimento;</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Paralisar, por determinação da Contratante, qualquer atividade que não esteja sendo executada de acordo com a boa técnica ou que ponha em risco a segurança de pessoas ou bens de terceiros;</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Adotar as providências e precauções necessárias, inclusive consulta nos respectivos órgãos, se necessário for, a fim de que não venham a ser danificadas as redes hidrossanitárias, elétricas e de comunicação;</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Promover a guarda, manutenção e vigilância de materiais, ferramentas, e tudo o que for necessário à execução dos serviços, durante a vigência do contrato;</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Providenciar junto ao CREA e/ou ao CAU-BR as Anotações e Registros de Responsabilidade Técnica referentes ao objeto do contrato e especialidades pertinentes, nos termos das normas pertinentes (Leis nºs 6.496/77 e 12.378/2010);</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Obter junto ao Município, conforme o caso, as licenças necessárias e demais documentos e autorizações exigíveis, na forma da legislação aplicável;</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Ceder os direitos patrimoniais relativos ao projeto ou serviço técnico especializado, para que a Administração possa utilizá-lo de acordo com o previsto neste Projeto Básico e seus anexos, conforme artigo 111 da Lei n° 8.666, de 1993;</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Assegurar à CONTRATANTE:</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Promover a organização técnica e administrativa dos serviços, de modo a conduzi-los eficaz e eficientemente, de acordo com os documentos e especificações que integram este Projeto Básico, no prazo determinado;</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Conduzir os trabalhos com estrita observância às normas da legislação pertinente, cumprindo as determinações dos Poderes Públicos, mantendo sempre limpo o local dos serviços e nas melhores condições de segurança, higiene e disciplina;</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Submeter previamente, por escrito, à Contratante, para análise e aprovação, quaisquer mudanças nos métodos executivos que fujam às especificações do memorial descritivo;</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Refazer, às suas expensas, os trabalhos executados em desacordo com o estabelecido no instrumento contratual, neste Projeto Básico e seus anexos, bem como substituir aqueles realizados com materiais defeituosos ou com vício de construção, pelo prazo de 05 (cinco) anos, contado da data de emissão do Termo de Recebimento Definitivo, ou a qualquer tempo se constatado pelo fiscal da Contratante;</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Utilizar somente matéria-prima florestal procedente, nos termos do artigo 11 do Decreto n° 5.975, de 2006, de: (a) manejo florestal, realizado por meio de Plano de Manejo Florestal 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Comprovar a procedência legal dos produtos ou subprodutos florestais utilizados em cada etapa da execução contratual, por ocasião da respectiva medição, mediante a apresentação dos seguintes documentos, conforme o caso:</w:t>
      </w:r>
    </w:p>
    <w:p>
      <w:pPr>
        <w:pStyle w:val="Normal"/>
        <w:numPr>
          <w:ilvl w:val="2"/>
          <w:numId w:val="2"/>
        </w:numPr>
        <w:spacing w:lineRule="auto" w:line="276" w:before="0" w:after="360"/>
        <w:ind w:left="567" w:hanging="0"/>
        <w:jc w:val="both"/>
        <w:rPr>
          <w:rFonts w:ascii="Times New Roman" w:hAnsi="Times New Roman" w:cs="Times New Roman"/>
        </w:rPr>
      </w:pPr>
      <w:bookmarkStart w:id="0" w:name="_Hlk491881345"/>
      <w:r>
        <w:rPr>
          <w:rFonts w:cs="Times New Roman" w:ascii="Times New Roman" w:hAnsi="Times New Roman"/>
        </w:rPr>
        <w:t>Cópias autenticadas das notas fiscais de aquisição dos produtos ou subprodutos florestais;</w:t>
      </w:r>
      <w:bookmarkEnd w:id="0"/>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Instrução Normativa IBAMA n° 31, de 03/12/2009, e legislação correlata;</w:t>
      </w:r>
    </w:p>
    <w:p>
      <w:pPr>
        <w:pStyle w:val="Normal"/>
        <w:numPr>
          <w:ilvl w:val="2"/>
          <w:numId w:val="2"/>
        </w:numPr>
        <w:spacing w:lineRule="auto" w:line="276" w:before="0" w:after="360"/>
        <w:ind w:left="567" w:hanging="0"/>
        <w:jc w:val="both"/>
        <w:rPr>
          <w:rFonts w:ascii="Times New Roman" w:hAnsi="Times New Roman" w:cs="Times New Roman"/>
          <w:color w:val="000000"/>
        </w:rPr>
      </w:pPr>
      <w:r>
        <w:rPr>
          <w:rFonts w:cs="Times New Roman" w:ascii="Times New Roman" w:hAnsi="Times New Roman"/>
          <w:color w:val="000000"/>
        </w:rPr>
        <w:t>Documento de Origem Florestal – DOF, instituído pela Portaria n° 253, de 18/08/2006, do Ministério do Meio Ambiente, e Instrução Normativa IBAMA n° 112, de 21/08/2006, quando se tratar de produtos ou subprodutos florestais de origem nativa cujo transporte e armazenamento exijam a emissão de tal licença obrigatória.</w:t>
      </w:r>
    </w:p>
    <w:p>
      <w:pPr>
        <w:pStyle w:val="Normal"/>
        <w:numPr>
          <w:ilvl w:val="3"/>
          <w:numId w:val="2"/>
        </w:numPr>
        <w:spacing w:lineRule="auto" w:line="276" w:before="120" w:after="360"/>
        <w:ind w:left="851" w:hanging="0"/>
        <w:jc w:val="both"/>
        <w:rPr>
          <w:rFonts w:ascii="Times New Roman" w:hAnsi="Times New Roman" w:cs="Times New Roman"/>
        </w:rPr>
      </w:pPr>
      <w:r>
        <w:rPr>
          <w:rFonts w:cs="Times New Roman" w:ascii="Times New Roman" w:hAnsi="Times New Roman"/>
        </w:rPr>
        <w:t>Caso os produtos ou subprodutos florestais utilizados na execução contratual tenham origem em Estado que possua documento de controle próprio, a CONTRATADA deverá apresentá-lo, em complementação ao DOF, a fim de demonstrar a regularidade do transporte e armazenamento nos limites do território estadual;</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Observar as diretrizes, critérios e procedimentos para a gestão dos resíduos da construção civil estabelecidos na Resolução nº 307, de 05/07/2002, com as alterações da Resolução nº 448/2012, do Conselho Nacional de Meio Ambiente - CONAMA, nos seguintes termos:</w:t>
      </w:r>
    </w:p>
    <w:p>
      <w:pPr>
        <w:pStyle w:val="Normal"/>
        <w:numPr>
          <w:ilvl w:val="2"/>
          <w:numId w:val="2"/>
        </w:numPr>
        <w:spacing w:lineRule="auto" w:line="276" w:before="0" w:after="360"/>
        <w:ind w:left="567" w:hanging="0"/>
        <w:jc w:val="both"/>
        <w:rPr>
          <w:rFonts w:ascii="Times New Roman" w:hAnsi="Times New Roman" w:cs="Times New Roman"/>
          <w:color w:val="000000"/>
        </w:rPr>
      </w:pPr>
      <w:r>
        <w:rPr>
          <w:rFonts w:cs="Times New Roman" w:ascii="Times New Roman" w:hAnsi="Times New Roman"/>
          <w:color w:val="000000"/>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pPr>
        <w:pStyle w:val="Normal"/>
        <w:numPr>
          <w:ilvl w:val="2"/>
          <w:numId w:val="2"/>
        </w:numPr>
        <w:spacing w:lineRule="auto" w:line="276" w:before="0" w:after="360"/>
        <w:ind w:left="567" w:hanging="0"/>
        <w:jc w:val="both"/>
        <w:rPr>
          <w:rFonts w:ascii="Times New Roman" w:hAnsi="Times New Roman" w:cs="Times New Roman"/>
          <w:color w:val="000000"/>
        </w:rPr>
      </w:pPr>
      <w:r>
        <w:rPr>
          <w:rFonts w:cs="Times New Roman" w:ascii="Times New Roman" w:hAnsi="Times New Roman"/>
          <w:color w:val="000000"/>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pPr>
        <w:pStyle w:val="Normal"/>
        <w:numPr>
          <w:ilvl w:val="3"/>
          <w:numId w:val="2"/>
        </w:numPr>
        <w:spacing w:lineRule="auto" w:line="276" w:before="120" w:after="360"/>
        <w:ind w:left="851" w:hanging="0"/>
        <w:jc w:val="both"/>
        <w:rPr>
          <w:rFonts w:ascii="Times New Roman" w:hAnsi="Times New Roman" w:cs="Times New Roman"/>
        </w:rPr>
      </w:pPr>
      <w:r>
        <w:rPr>
          <w:rFonts w:cs="Times New Roman" w:ascii="Times New Roman" w:hAnsi="Times New Roman"/>
        </w:rPr>
        <w:t>resíduos Classe A (reutilizáveis ou recicláveis como agregados): deverão ser reutilizados ou reciclados na forma de agregados, ou encaminhados a aterros de resíduos classe A de reservação de material para usos futuros;</w:t>
      </w:r>
    </w:p>
    <w:p>
      <w:pPr>
        <w:pStyle w:val="Normal"/>
        <w:numPr>
          <w:ilvl w:val="3"/>
          <w:numId w:val="2"/>
        </w:numPr>
        <w:spacing w:lineRule="auto" w:line="276" w:before="120" w:after="360"/>
        <w:ind w:left="851" w:hanging="0"/>
        <w:jc w:val="both"/>
        <w:rPr>
          <w:rFonts w:ascii="Times New Roman" w:hAnsi="Times New Roman" w:cs="Times New Roman"/>
        </w:rPr>
      </w:pPr>
      <w:r>
        <w:rPr>
          <w:rFonts w:cs="Times New Roman" w:ascii="Times New Roman" w:hAnsi="Times New Roman"/>
        </w:rPr>
        <w:t>resíduos Classe B (recicláveis para outras destinações): deverão ser reutilizados, reciclados ou encaminhados a áreas de armazenamento temporário, sendo dispostos de modo a permitir a sua utilização ou reciclagem futura;</w:t>
      </w:r>
    </w:p>
    <w:p>
      <w:pPr>
        <w:pStyle w:val="Normal"/>
        <w:numPr>
          <w:ilvl w:val="3"/>
          <w:numId w:val="2"/>
        </w:numPr>
        <w:spacing w:lineRule="auto" w:line="276" w:before="120" w:after="360"/>
        <w:ind w:left="851" w:hanging="0"/>
        <w:jc w:val="both"/>
        <w:rPr>
          <w:rFonts w:ascii="Times New Roman" w:hAnsi="Times New Roman" w:cs="Times New Roman"/>
        </w:rPr>
      </w:pPr>
      <w:r>
        <w:rPr>
          <w:rFonts w:cs="Times New Roman" w:ascii="Times New Roman" w:hAnsi="Times New Roman"/>
        </w:rPr>
        <w:t>resíduos Classe C (para os quais não foram desenvolvidas tecnologias ou aplicações economicamente viáveis que permitam a sua reciclagem/recuperação): deverão ser armazenados, transportados e destinados em conformidade com as normas técnicas específicas;</w:t>
      </w:r>
    </w:p>
    <w:p>
      <w:pPr>
        <w:pStyle w:val="Normal"/>
        <w:numPr>
          <w:ilvl w:val="3"/>
          <w:numId w:val="2"/>
        </w:numPr>
        <w:spacing w:lineRule="auto" w:line="276" w:before="120" w:after="360"/>
        <w:ind w:left="851" w:hanging="0"/>
        <w:jc w:val="both"/>
        <w:rPr>
          <w:rFonts w:ascii="Times New Roman" w:hAnsi="Times New Roman" w:cs="Times New Roman"/>
        </w:rPr>
      </w:pPr>
      <w:r>
        <w:rPr>
          <w:rFonts w:cs="Times New Roman" w:ascii="Times New Roman" w:hAnsi="Times New Roman"/>
        </w:rPr>
        <w:t>resíduos Classe D (perigosos, contaminados ou prejudiciais à saúde): deverão ser armazenados, transportados, reutilizados e destinados em conformidade com as normas técnicas específicas.</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Em nenhuma hipótese a Contratada poderá dispor os resíduos originários da contratação em aterros de resíduos sólidos urbanos, áreas de “bota fora”, encostas, corpos d´água, lotes vagos e áreas protegidas por Lei, bem como em áreas não licenciadas;</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Para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nºs 15.112, 15.113, 15.114, 15.115 e 15.116, de 2004;</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Observar as diretrizes, critérios e procedimentos para a gestão dos resíduos da construção civil estabelecidos na Resolução nº 307, de 05/07/2002, com as alterações da Resolução nº 448/2012, do Conselho Nacional de Meio Ambiente - CONAMA, nos seguintes termos:</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Responder por qualquer acidente de trabalho na execução dos serviços, por uso indevido de patentes registradas em nome de terceiros, por danos resultantes de caso fortuito ou de força maior, por qualquer causa de destruição, danificação, defeitos ou incorreções dos serviços ou dos bens da Contratante, de seus funcionários ou de terceiros, ainda que ocorridos em via pública junto à obra;</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neste Projeto Básico e demais documentos anexos;</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Fornecer, quando for o caso, os projetos executivos desenvolvidos pela contratada, que formarão um conjunto de documentos técnicos, gráficos e descritivos referentes aos segmentos especializados de engenharia, previamente e devidamente compatibilizados, de modo a considerar todas as possíveis interferências capazes de oferecer impedimento total ou parcial, permanente ou temporário, à execução do empreendimento, de maneira a abrangê-la em seu todo, compreendendo a completa caracterização e entendimento de todas as suas especificações técnicas, para posterior execução e implantação do objeto garantindo a plena compreensão das informações prestadas, bem como sua aplicação correta nos trabalhos;</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A elaboração dos projetos executivos, quando for o caso, deverá partir das soluções desenvolvidas nos anteprojetos constantes neste Projeto Básico e seus anexos (Caderno de Encargos e Especificações Técnicas) e apresentar o detalhamento dos elementos construtivos e especificações técnicas, incorporando as alterações exigidas pelas mútuas interferências entre os diversos projetos;</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A empresa contratada cujos empregados vinculados ao serviço sejam regidos pela CLT deverá entregar ao setor responsável pela fiscalização do contrato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Serão de exclusiva responsabilidade da contratada eventuais erros/equívocos no dimensionamento da proposta;</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Em se tratando de atividades que envolvam serviços de natureza intelectual, após a assinatura do contrato, a contratada deverá participar de reunião inicial, devidamente registrada em Ata, para dar início à execução do serviço, com o esclarecimento das obrigações contratuais, em que estejam presentes os técnicos responsáveis pela elaboração do termo de referência, o gestor do contrato, o fiscal técnico do contrato, o fiscal administrativo do contrato, os técnicos da área requisitante, o preposto da empresa e os gerentes das áreas que executarão os serviços contratados.</w:t>
      </w:r>
    </w:p>
    <w:p>
      <w:pPr>
        <w:pStyle w:val="Normal"/>
        <w:numPr>
          <w:ilvl w:val="0"/>
          <w:numId w:val="2"/>
        </w:numPr>
        <w:spacing w:lineRule="auto" w:line="276" w:before="0" w:after="360"/>
        <w:jc w:val="both"/>
        <w:rPr>
          <w:rFonts w:ascii="Times New Roman" w:hAnsi="Times New Roman" w:cs="Times New Roman"/>
          <w:b/>
          <w:b/>
          <w:u w:val="single"/>
        </w:rPr>
      </w:pPr>
      <w:r>
        <w:rPr>
          <w:rFonts w:cs="Times New Roman" w:ascii="Times New Roman" w:hAnsi="Times New Roman"/>
          <w:b/>
          <w:u w:val="single"/>
        </w:rPr>
        <w:t>CONTROLE E FISCALIZAÇÃO DA EXECUÇÃO</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arts. 67 e 73 da Lei nº 8.666, de 1993;</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O representante da Contratante deverá ter a qualificação necessária para o acompanhamento e controle da execução dos serviços e do contrato;</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A verificação da adequação da prestação do serviço deverá ser realizada com base nos critérios previstos neste Projeto Básico;</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A conformidade do material/técnica/equipamento a ser utilizado na execução dos serviços deverá ser verificada juntamente com o documento da Contratada que contenha a relação detalhada dos mesmos, de acordo com o estabelecido neste Projeto Básico, informando as respectivas quantidades e especificações técnicas, tais como: marca, qualidade e forma de uso;</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O representante da Contratante deverá promover o registro das ocorrências verificadas, adotando as providências necessárias ao fiel cumprimento das cláusulas contratuais, conforme o disposto nos §§ 1º e 2º do art. 67 da Lei nº 8.666, de 1993;</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O descumprimento total ou parcial das obrigações e responsabilidades assumidas pela Contratada, sobretudo quanto às obrigações e encargos sociais e trabalhistas, ensejará a aplicação de sanções administrativas, previstas no edital da licitação e na legislação vigente, podendo culminar em rescisão contratual, conforme disposto nos artigos 77 e 87 da Lei nº 8.666, de 1993;</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pPr>
        <w:pStyle w:val="Normal"/>
        <w:numPr>
          <w:ilvl w:val="0"/>
          <w:numId w:val="2"/>
        </w:numPr>
        <w:spacing w:lineRule="auto" w:line="276" w:before="0" w:after="360"/>
        <w:jc w:val="both"/>
        <w:rPr>
          <w:rFonts w:ascii="Times New Roman" w:hAnsi="Times New Roman" w:cs="Times New Roman"/>
          <w:b/>
          <w:b/>
          <w:u w:val="single"/>
        </w:rPr>
      </w:pPr>
      <w:r>
        <w:rPr>
          <w:rFonts w:cs="Times New Roman" w:ascii="Times New Roman" w:hAnsi="Times New Roman"/>
          <w:b/>
          <w:u w:val="single"/>
        </w:rPr>
        <w:t>DA SUBCONTRATAÇÃO</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Não será admitida a subcontratação do objeto licitatório;</w:t>
      </w:r>
    </w:p>
    <w:p>
      <w:pPr>
        <w:pStyle w:val="Normal"/>
        <w:numPr>
          <w:ilvl w:val="0"/>
          <w:numId w:val="2"/>
        </w:numPr>
        <w:spacing w:lineRule="auto" w:line="276" w:before="0" w:after="360"/>
        <w:jc w:val="both"/>
        <w:rPr>
          <w:rFonts w:ascii="Times New Roman" w:hAnsi="Times New Roman" w:cs="Times New Roman"/>
          <w:b/>
          <w:b/>
          <w:u w:val="single"/>
        </w:rPr>
      </w:pPr>
      <w:r>
        <w:rPr>
          <w:rFonts w:cs="Times New Roman" w:ascii="Times New Roman" w:hAnsi="Times New Roman"/>
          <w:b/>
          <w:u w:val="single"/>
        </w:rPr>
        <w:t>SANÇÕES ADMINISTRATIVAS</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As sanções relacionadas à execução contratual serão aquelas previstas no edital da licitação.</w:t>
      </w:r>
    </w:p>
    <w:p>
      <w:pPr>
        <w:pStyle w:val="Normal"/>
        <w:numPr>
          <w:ilvl w:val="0"/>
          <w:numId w:val="2"/>
        </w:numPr>
        <w:spacing w:lineRule="auto" w:line="276" w:before="0" w:after="360"/>
        <w:jc w:val="both"/>
        <w:rPr>
          <w:rFonts w:ascii="Times New Roman" w:hAnsi="Times New Roman" w:cs="Times New Roman"/>
          <w:b/>
          <w:b/>
          <w:u w:val="single"/>
        </w:rPr>
      </w:pPr>
      <w:r>
        <w:rPr>
          <w:rFonts w:cs="Times New Roman" w:ascii="Times New Roman" w:hAnsi="Times New Roman"/>
          <w:b/>
          <w:u w:val="single"/>
        </w:rPr>
        <w:t>ANEXOS</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Integram este Projeto Básico, para todos os fins e efeitos, os seguintes anexos e impressos em mídia digital (CD):</w:t>
      </w:r>
    </w:p>
    <w:p>
      <w:pPr>
        <w:pStyle w:val="Normal"/>
        <w:numPr>
          <w:ilvl w:val="2"/>
          <w:numId w:val="2"/>
        </w:numPr>
        <w:spacing w:lineRule="auto" w:line="276" w:before="0" w:after="360"/>
        <w:jc w:val="both"/>
        <w:rPr>
          <w:rFonts w:ascii="Times New Roman" w:hAnsi="Times New Roman" w:cs="Times New Roman"/>
        </w:rPr>
      </w:pPr>
      <w:r>
        <w:rPr>
          <w:rFonts w:cs="Times New Roman" w:ascii="Times New Roman" w:hAnsi="Times New Roman"/>
        </w:rPr>
        <w:t>Caderno de Encargos e Especificações Técnicas;</w:t>
      </w:r>
    </w:p>
    <w:p>
      <w:pPr>
        <w:pStyle w:val="Normal"/>
        <w:numPr>
          <w:ilvl w:val="2"/>
          <w:numId w:val="2"/>
        </w:numPr>
        <w:spacing w:lineRule="auto" w:line="276" w:before="0" w:after="360"/>
        <w:jc w:val="both"/>
        <w:rPr>
          <w:rFonts w:ascii="Times New Roman" w:hAnsi="Times New Roman" w:cs="Times New Roman"/>
        </w:rPr>
      </w:pPr>
      <w:r>
        <w:rPr>
          <w:rFonts w:cs="Times New Roman" w:ascii="Times New Roman" w:hAnsi="Times New Roman"/>
        </w:rPr>
        <w:t>Planilha Estimativa de Custos e Formação de Preços;</w:t>
      </w:r>
    </w:p>
    <w:p>
      <w:pPr>
        <w:pStyle w:val="Normal"/>
        <w:numPr>
          <w:ilvl w:val="2"/>
          <w:numId w:val="2"/>
        </w:numPr>
        <w:spacing w:lineRule="auto" w:line="276" w:before="0" w:after="360"/>
        <w:jc w:val="both"/>
        <w:rPr>
          <w:rFonts w:ascii="Times New Roman" w:hAnsi="Times New Roman" w:cs="Times New Roman"/>
        </w:rPr>
      </w:pPr>
      <w:r>
        <w:rPr>
          <w:rFonts w:cs="Times New Roman" w:ascii="Times New Roman" w:hAnsi="Times New Roman"/>
        </w:rPr>
        <w:t>Memória de Cálculo;</w:t>
      </w:r>
    </w:p>
    <w:p>
      <w:pPr>
        <w:pStyle w:val="Normal"/>
        <w:numPr>
          <w:ilvl w:val="2"/>
          <w:numId w:val="2"/>
        </w:numPr>
        <w:spacing w:lineRule="auto" w:line="276" w:before="0" w:after="360"/>
        <w:jc w:val="both"/>
        <w:rPr>
          <w:rFonts w:ascii="Times New Roman" w:hAnsi="Times New Roman" w:cs="Times New Roman"/>
        </w:rPr>
      </w:pPr>
      <w:r>
        <w:rPr>
          <w:rFonts w:cs="Times New Roman" w:ascii="Times New Roman" w:hAnsi="Times New Roman"/>
        </w:rPr>
        <w:t>Curva ABC;</w:t>
      </w:r>
    </w:p>
    <w:p>
      <w:pPr>
        <w:pStyle w:val="Normal"/>
        <w:numPr>
          <w:ilvl w:val="2"/>
          <w:numId w:val="2"/>
        </w:numPr>
        <w:spacing w:lineRule="auto" w:line="276" w:before="0" w:after="360"/>
        <w:jc w:val="both"/>
        <w:rPr>
          <w:rFonts w:ascii="Times New Roman" w:hAnsi="Times New Roman" w:cs="Times New Roman"/>
        </w:rPr>
      </w:pPr>
      <w:r>
        <w:rPr>
          <w:rFonts w:cs="Times New Roman" w:ascii="Times New Roman" w:hAnsi="Times New Roman"/>
        </w:rPr>
        <w:t>Planilha de Composição de BDI;</w:t>
      </w:r>
    </w:p>
    <w:p>
      <w:pPr>
        <w:pStyle w:val="Normal"/>
        <w:numPr>
          <w:ilvl w:val="2"/>
          <w:numId w:val="2"/>
        </w:numPr>
        <w:spacing w:lineRule="auto" w:line="276" w:before="0" w:after="360"/>
        <w:jc w:val="both"/>
        <w:rPr>
          <w:rFonts w:ascii="Times New Roman" w:hAnsi="Times New Roman" w:cs="Times New Roman"/>
        </w:rPr>
      </w:pPr>
      <w:r>
        <w:rPr>
          <w:rFonts w:eastAsia="Palatino Linotype" w:cs="Times New Roman" w:ascii="Times New Roman" w:hAnsi="Times New Roman"/>
        </w:rPr>
        <w:t xml:space="preserve"> </w:t>
      </w:r>
      <w:r>
        <w:rPr>
          <w:rFonts w:cs="Times New Roman" w:ascii="Times New Roman" w:hAnsi="Times New Roman"/>
        </w:rPr>
        <w:t>Composição de preços unitário para materiais, equipamentos e serviços;</w:t>
      </w:r>
    </w:p>
    <w:p>
      <w:pPr>
        <w:pStyle w:val="Normal"/>
        <w:numPr>
          <w:ilvl w:val="2"/>
          <w:numId w:val="2"/>
        </w:numPr>
        <w:spacing w:lineRule="auto" w:line="276" w:before="0" w:after="360"/>
        <w:jc w:val="both"/>
        <w:rPr>
          <w:rFonts w:ascii="Times New Roman" w:hAnsi="Times New Roman" w:cs="Times New Roman"/>
        </w:rPr>
      </w:pPr>
      <w:r>
        <w:rPr>
          <w:rFonts w:cs="Times New Roman" w:ascii="Times New Roman" w:hAnsi="Times New Roman"/>
        </w:rPr>
        <w:t>Cronograma Físico-Financeiro;</w:t>
      </w:r>
    </w:p>
    <w:p>
      <w:pPr>
        <w:pStyle w:val="Normal"/>
        <w:numPr>
          <w:ilvl w:val="2"/>
          <w:numId w:val="2"/>
        </w:numPr>
        <w:spacing w:lineRule="auto" w:line="276" w:before="0" w:after="360"/>
        <w:jc w:val="both"/>
        <w:rPr>
          <w:rFonts w:ascii="Times New Roman" w:hAnsi="Times New Roman" w:cs="Times New Roman"/>
        </w:rPr>
      </w:pPr>
      <w:r>
        <w:rPr>
          <w:rFonts w:cs="Times New Roman" w:ascii="Times New Roman" w:hAnsi="Times New Roman"/>
        </w:rPr>
        <w:t>Projeto Arquitetônico e/ou completar.</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Integram este Projeto Básico, ainda, para todos os fins e efeitos, os respectivos projetos de engenharia, bem como os documentos referentes à responsabilidade técnica (ART/RRT referentes à totalidade das peças técnicas produzidas por profissional habilitado).</w:t>
      </w:r>
    </w:p>
    <w:p>
      <w:pPr>
        <w:pStyle w:val="Normal"/>
        <w:spacing w:lineRule="auto" w:line="276" w:before="0" w:after="360"/>
        <w:ind w:left="284" w:hanging="0"/>
        <w:jc w:val="both"/>
        <w:rPr>
          <w:rFonts w:ascii="Times New Roman" w:hAnsi="Times New Roman" w:cs="Times New Roman"/>
        </w:rPr>
      </w:pPr>
      <w:r>
        <w:rPr>
          <w:rFonts w:cs="Times New Roman" w:ascii="Times New Roman" w:hAnsi="Times New Roman"/>
        </w:rPr>
      </w:r>
    </w:p>
    <w:p>
      <w:pPr>
        <w:pStyle w:val="Normal"/>
        <w:spacing w:lineRule="auto" w:line="276" w:before="0" w:after="360"/>
        <w:ind w:left="284" w:hanging="0"/>
        <w:jc w:val="center"/>
        <w:rPr>
          <w:highlight w:val="none"/>
          <w:shd w:fill="auto" w:val="clear"/>
        </w:rPr>
      </w:pPr>
      <w:r>
        <w:rPr>
          <w:rFonts w:eastAsia="Arial Unicode MS" w:cs="Times New Roman" w:ascii="Times New Roman" w:hAnsi="Times New Roman"/>
          <w:shd w:fill="auto" w:val="clear"/>
        </w:rPr>
        <w:t xml:space="preserve">Arapiraca – AL, </w:t>
      </w:r>
      <w:r>
        <w:rPr>
          <w:rFonts w:eastAsia="Arial Unicode MS" w:cs="Times New Roman" w:ascii="Times New Roman" w:hAnsi="Times New Roman"/>
          <w:shd w:fill="auto" w:val="clear"/>
        </w:rPr>
        <w:t>15</w:t>
      </w:r>
      <w:r>
        <w:rPr>
          <w:rFonts w:eastAsia="Arial Unicode MS" w:cs="Times New Roman" w:ascii="Times New Roman" w:hAnsi="Times New Roman"/>
          <w:shd w:fill="auto" w:val="clear"/>
        </w:rPr>
        <w:t xml:space="preserve"> de março de 2023.</w:t>
      </w:r>
    </w:p>
    <w:p>
      <w:pPr>
        <w:pStyle w:val="Normal"/>
        <w:spacing w:lineRule="auto" w:line="276" w:before="0" w:after="360"/>
        <w:ind w:left="284" w:hanging="0"/>
        <w:jc w:val="center"/>
        <w:rPr>
          <w:rFonts w:ascii="Times New Roman" w:hAnsi="Times New Roman" w:eastAsia="Arial Unicode MS" w:cs="Times New Roman"/>
        </w:rPr>
      </w:pPr>
      <w:r>
        <w:rPr>
          <w:rFonts w:eastAsia="Arial Unicode MS" w:cs="Times New Roman" w:ascii="Times New Roman" w:hAnsi="Times New Roman"/>
        </w:rPr>
      </w:r>
    </w:p>
    <w:p>
      <w:pPr>
        <w:pStyle w:val="Normal"/>
        <w:spacing w:lineRule="auto" w:line="240" w:before="0" w:after="0"/>
        <w:ind w:left="284" w:hanging="0"/>
        <w:jc w:val="center"/>
        <w:rPr>
          <w:rFonts w:ascii="Times New Roman" w:hAnsi="Times New Roman" w:eastAsia="Arial Unicode MS" w:cs="Times New Roman"/>
        </w:rPr>
      </w:pPr>
      <w:r>
        <w:rPr>
          <w:rFonts w:eastAsia="Arial Unicode MS" w:cs="Times New Roman" w:ascii="Times New Roman" w:hAnsi="Times New Roman"/>
        </w:rPr>
        <w:t>___________________________________</w:t>
      </w:r>
    </w:p>
    <w:p>
      <w:pPr>
        <w:pStyle w:val="Normal"/>
        <w:spacing w:lineRule="auto" w:line="240" w:before="0" w:after="0"/>
        <w:ind w:left="284" w:hanging="0"/>
        <w:jc w:val="center"/>
        <w:rPr>
          <w:rFonts w:ascii="Times New Roman" w:hAnsi="Times New Roman" w:eastAsia="Arial Unicode MS" w:cs="Times New Roman"/>
          <w:b/>
          <w:b/>
        </w:rPr>
      </w:pPr>
      <w:r>
        <w:rPr>
          <w:rFonts w:eastAsia="Arial Unicode MS" w:cs="Times New Roman" w:ascii="Times New Roman" w:hAnsi="Times New Roman"/>
          <w:b/>
        </w:rPr>
        <w:t xml:space="preserve">Sileide Barbosa de Oliveira </w:t>
      </w:r>
    </w:p>
    <w:p>
      <w:pPr>
        <w:pStyle w:val="Normal"/>
        <w:spacing w:lineRule="auto" w:line="240" w:before="0" w:after="0"/>
        <w:ind w:left="284" w:hanging="0"/>
        <w:jc w:val="center"/>
        <w:rPr>
          <w:rFonts w:ascii="Times New Roman" w:hAnsi="Times New Roman" w:eastAsia="Arial Unicode MS" w:cs="Times New Roman"/>
        </w:rPr>
      </w:pPr>
      <w:r>
        <w:rPr>
          <w:rFonts w:eastAsia="Arial Unicode MS" w:cs="Times New Roman" w:ascii="Times New Roman" w:hAnsi="Times New Roman"/>
        </w:rPr>
        <w:t>Mat. 120258</w:t>
      </w:r>
    </w:p>
    <w:p>
      <w:pPr>
        <w:pStyle w:val="Normal"/>
        <w:spacing w:lineRule="auto" w:line="240" w:before="0" w:after="0"/>
        <w:ind w:left="284" w:hanging="0"/>
        <w:jc w:val="center"/>
        <w:rPr>
          <w:rFonts w:ascii="Times New Roman" w:hAnsi="Times New Roman" w:eastAsia="Arial Unicode MS" w:cs="Times New Roman"/>
        </w:rPr>
      </w:pPr>
      <w:r>
        <w:rPr>
          <w:rFonts w:eastAsia="Arial Unicode MS" w:cs="Times New Roman" w:ascii="Times New Roman" w:hAnsi="Times New Roman"/>
        </w:rPr>
      </w:r>
    </w:p>
    <w:p>
      <w:pPr>
        <w:pStyle w:val="Normal"/>
        <w:spacing w:lineRule="auto" w:line="240" w:before="0" w:after="0"/>
        <w:ind w:left="284" w:hanging="0"/>
        <w:jc w:val="center"/>
        <w:rPr>
          <w:rFonts w:ascii="Times New Roman" w:hAnsi="Times New Roman" w:eastAsia="Arial Unicode MS" w:cs="Times New Roman"/>
        </w:rPr>
      </w:pPr>
      <w:r>
        <w:rPr>
          <w:rFonts w:eastAsia="Arial Unicode MS" w:cs="Times New Roman" w:ascii="Times New Roman" w:hAnsi="Times New Roman"/>
        </w:rPr>
      </w:r>
    </w:p>
    <w:p>
      <w:pPr>
        <w:pStyle w:val="Normal"/>
        <w:spacing w:lineRule="auto" w:line="240" w:before="0" w:after="0"/>
        <w:ind w:left="284" w:hanging="0"/>
        <w:jc w:val="center"/>
        <w:rPr>
          <w:rFonts w:ascii="Times New Roman" w:hAnsi="Times New Roman" w:eastAsia="Arial Unicode MS" w:cs="Times New Roman"/>
        </w:rPr>
      </w:pPr>
      <w:r>
        <w:rPr>
          <w:rFonts w:eastAsia="Arial Unicode MS" w:cs="Times New Roman" w:ascii="Times New Roman" w:hAnsi="Times New Roman"/>
        </w:rPr>
      </w:r>
    </w:p>
    <w:p>
      <w:pPr>
        <w:pStyle w:val="Normal"/>
        <w:jc w:val="center"/>
        <w:rPr>
          <w:rFonts w:ascii="Times New Roman" w:hAnsi="Times New Roman" w:cs="Times New Roman"/>
          <w:sz w:val="24"/>
          <w:szCs w:val="24"/>
        </w:rPr>
      </w:pPr>
      <w:r>
        <w:rPr>
          <w:rFonts w:cs="Times New Roman" w:ascii="Times New Roman" w:hAnsi="Times New Roman"/>
          <w:sz w:val="24"/>
          <w:szCs w:val="24"/>
        </w:rPr>
        <w:t>__________________________________</w:t>
      </w:r>
    </w:p>
    <w:p>
      <w:pPr>
        <w:pStyle w:val="Normal"/>
        <w:spacing w:before="0" w:after="0"/>
        <w:jc w:val="center"/>
        <w:rPr>
          <w:rFonts w:ascii="Times New Roman" w:hAnsi="Times New Roman" w:cs="Times New Roman"/>
          <w:sz w:val="24"/>
          <w:szCs w:val="24"/>
        </w:rPr>
      </w:pPr>
      <w:r>
        <w:rPr>
          <w:rFonts w:eastAsia="Arial Unicode MS" w:cs="Times New Roman" w:ascii="Times New Roman" w:hAnsi="Times New Roman"/>
          <w:b/>
          <w:sz w:val="24"/>
          <w:szCs w:val="24"/>
        </w:rPr>
        <w:t>Evelyn Nayara Bezerra da Silva</w:t>
      </w:r>
      <w:r>
        <w:rPr>
          <w:rFonts w:cs="Times New Roman" w:ascii="Times New Roman" w:hAnsi="Times New Roman"/>
          <w:sz w:val="24"/>
          <w:szCs w:val="24"/>
        </w:rPr>
        <w:t xml:space="preserve"> </w:t>
      </w:r>
    </w:p>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Engenheira Civil</w:t>
      </w:r>
    </w:p>
    <w:p>
      <w:pPr>
        <w:pStyle w:val="Normal"/>
        <w:spacing w:before="0" w:after="0"/>
        <w:jc w:val="center"/>
        <w:rPr>
          <w:rFonts w:ascii="Times New Roman" w:hAnsi="Times New Roman" w:cs="Times New Roman"/>
          <w:sz w:val="24"/>
          <w:szCs w:val="24"/>
        </w:rPr>
      </w:pPr>
      <w:r>
        <w:rPr>
          <w:rFonts w:eastAsia="Arial Unicode MS" w:cs="Times New Roman" w:ascii="Times New Roman" w:hAnsi="Times New Roman"/>
          <w:sz w:val="24"/>
          <w:szCs w:val="24"/>
          <w:shd w:fill="auto" w:val="clear"/>
        </w:rPr>
        <w:t>CREA/AL Nº 021917556-0</w:t>
      </w:r>
    </w:p>
    <w:p>
      <w:pPr>
        <w:pStyle w:val="Normal"/>
        <w:spacing w:lineRule="auto" w:line="240" w:before="0" w:after="0"/>
        <w:ind w:left="284" w:hanging="0"/>
        <w:jc w:val="center"/>
        <w:rPr>
          <w:rFonts w:ascii="Times New Roman" w:hAnsi="Times New Roman" w:eastAsia="Arial Unicode MS" w:cs="Times New Roman"/>
        </w:rPr>
      </w:pPr>
      <w:r>
        <w:rPr>
          <w:rFonts w:eastAsia="Arial Unicode MS" w:cs="Times New Roman" w:ascii="Times New Roman" w:hAnsi="Times New Roman"/>
        </w:rPr>
      </w:r>
    </w:p>
    <w:p>
      <w:pPr>
        <w:pStyle w:val="Normal"/>
        <w:spacing w:lineRule="auto" w:line="240" w:before="0" w:after="0"/>
        <w:ind w:left="284" w:hanging="0"/>
        <w:jc w:val="center"/>
        <w:rPr>
          <w:rFonts w:ascii="Times New Roman" w:hAnsi="Times New Roman" w:eastAsia="Arial Unicode MS" w:cs="Times New Roman"/>
        </w:rPr>
      </w:pPr>
      <w:r>
        <w:rPr>
          <w:rFonts w:eastAsia="Arial Unicode MS" w:cs="Times New Roman" w:ascii="Times New Roman" w:hAnsi="Times New Roman"/>
        </w:rPr>
      </w:r>
    </w:p>
    <w:p>
      <w:pPr>
        <w:pStyle w:val="Normal"/>
        <w:spacing w:lineRule="auto" w:line="240" w:before="0" w:after="0"/>
        <w:ind w:left="284" w:hanging="0"/>
        <w:jc w:val="center"/>
        <w:rPr>
          <w:rFonts w:ascii="Times New Roman" w:hAnsi="Times New Roman" w:eastAsia="Arial Unicode MS" w:cs="Times New Roman"/>
        </w:rPr>
      </w:pPr>
      <w:r>
        <w:rPr>
          <w:rFonts w:eastAsia="Arial Unicode MS" w:cs="Times New Roman" w:ascii="Times New Roman" w:hAnsi="Times New Roman"/>
        </w:rPr>
      </w:r>
    </w:p>
    <w:p>
      <w:pPr>
        <w:pStyle w:val="Normal"/>
        <w:spacing w:lineRule="auto" w:line="240" w:before="0" w:after="0"/>
        <w:ind w:left="284" w:hanging="0"/>
        <w:jc w:val="center"/>
        <w:rPr>
          <w:rFonts w:ascii="Times New Roman" w:hAnsi="Times New Roman" w:eastAsia="Arial Unicode MS" w:cs="Times New Roman"/>
        </w:rPr>
      </w:pPr>
      <w:r>
        <w:rPr>
          <w:rFonts w:eastAsia="Arial Unicode MS" w:cs="Times New Roman" w:ascii="Times New Roman" w:hAnsi="Times New Roman"/>
        </w:rPr>
        <w:t>_____________________________________</w:t>
      </w:r>
    </w:p>
    <w:p>
      <w:pPr>
        <w:pStyle w:val="Normal"/>
        <w:spacing w:before="0" w:after="0"/>
        <w:jc w:val="center"/>
        <w:rPr>
          <w:rFonts w:ascii="Times New Roman" w:hAnsi="Times New Roman" w:cs="Times New Roman"/>
          <w:sz w:val="24"/>
          <w:szCs w:val="24"/>
        </w:rPr>
      </w:pPr>
      <w:r>
        <w:rPr>
          <w:rFonts w:cs="Times New Roman" w:ascii="Times New Roman" w:hAnsi="Times New Roman"/>
          <w:b/>
          <w:sz w:val="24"/>
          <w:szCs w:val="24"/>
        </w:rPr>
        <w:t xml:space="preserve">Projeto aprovado por: Fernanda L. Ferreira da Silva </w:t>
      </w:r>
    </w:p>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Superintendente de Projetos e Orçamentos de Obras</w:t>
      </w:r>
    </w:p>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 xml:space="preserve">Arquiteta e Urbanista </w:t>
      </w:r>
    </w:p>
    <w:p>
      <w:pPr>
        <w:pStyle w:val="Normal"/>
        <w:spacing w:before="0" w:after="0"/>
        <w:jc w:val="center"/>
        <w:rPr>
          <w:rFonts w:ascii="Times New Roman" w:hAnsi="Times New Roman" w:cs="Times New Roman"/>
          <w:sz w:val="24"/>
          <w:szCs w:val="24"/>
        </w:rPr>
      </w:pPr>
      <w:r>
        <w:rPr>
          <w:rFonts w:cs="Times New Roman" w:ascii="Times New Roman" w:hAnsi="Times New Roman"/>
          <w:b/>
          <w:sz w:val="24"/>
          <w:szCs w:val="24"/>
        </w:rPr>
        <w:t>CAU Nº A136028-0</w:t>
      </w:r>
    </w:p>
    <w:p>
      <w:pPr>
        <w:pStyle w:val="Normal"/>
        <w:spacing w:lineRule="auto" w:line="240" w:before="0" w:after="0"/>
        <w:jc w:val="center"/>
        <w:rPr>
          <w:rFonts w:ascii="Times New Roman" w:hAnsi="Times New Roman" w:cs="Times New Roman"/>
        </w:rPr>
      </w:pPr>
      <w:r>
        <w:rPr>
          <w:rFonts w:cs="Times New Roman" w:ascii="Times New Roman" w:hAnsi="Times New Roman"/>
        </w:rPr>
        <w:t xml:space="preserve"> </w:t>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t>___________________________________</w:t>
      </w:r>
    </w:p>
    <w:p>
      <w:pPr>
        <w:pStyle w:val="Normal"/>
        <w:spacing w:before="0" w:after="0"/>
        <w:jc w:val="center"/>
        <w:rPr>
          <w:rFonts w:ascii="Times New Roman" w:hAnsi="Times New Roman" w:cs="Times New Roman"/>
          <w:sz w:val="24"/>
          <w:szCs w:val="24"/>
        </w:rPr>
      </w:pPr>
      <w:r>
        <w:rPr>
          <w:rFonts w:cs="Times New Roman" w:ascii="Times New Roman" w:hAnsi="Times New Roman"/>
          <w:b/>
          <w:sz w:val="24"/>
          <w:szCs w:val="24"/>
        </w:rPr>
        <w:t>Mallena Soares da Silva</w:t>
      </w:r>
    </w:p>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 xml:space="preserve">Secretaria Adjunta </w:t>
      </w:r>
    </w:p>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Engenheira Civil</w:t>
      </w:r>
    </w:p>
    <w:p>
      <w:pPr>
        <w:pStyle w:val="Normal"/>
        <w:spacing w:before="0" w:after="0"/>
        <w:jc w:val="center"/>
        <w:rPr>
          <w:rFonts w:ascii="Times New Roman" w:hAnsi="Times New Roman" w:cs="Times New Roman"/>
          <w:sz w:val="24"/>
          <w:szCs w:val="24"/>
        </w:rPr>
      </w:pPr>
      <w:r>
        <w:rPr>
          <w:rFonts w:cs="Times New Roman" w:ascii="Times New Roman" w:hAnsi="Times New Roman"/>
          <w:b/>
          <w:color w:val="222222"/>
          <w:sz w:val="24"/>
          <w:szCs w:val="24"/>
        </w:rPr>
        <w:t>CREA Nº 021954204-0.</w:t>
      </w:r>
    </w:p>
    <w:p>
      <w:pPr>
        <w:pStyle w:val="Normal"/>
        <w:spacing w:lineRule="auto" w:line="276" w:before="0" w:after="360"/>
        <w:ind w:left="284" w:hanging="0"/>
        <w:jc w:val="center"/>
        <w:rPr>
          <w:rFonts w:ascii="Times New Roman" w:hAnsi="Times New Roman" w:eastAsia="Arial Unicode MS" w:cs="Times New Roman"/>
        </w:rPr>
      </w:pPr>
      <w:r>
        <w:rPr>
          <w:rFonts w:eastAsia="Arial Unicode MS" w:cs="Times New Roman" w:ascii="Times New Roman" w:hAnsi="Times New Roman"/>
        </w:rPr>
      </w:r>
    </w:p>
    <w:p>
      <w:pPr>
        <w:pStyle w:val="Normal"/>
        <w:spacing w:lineRule="auto" w:line="276" w:before="0" w:after="360"/>
        <w:ind w:left="284" w:hanging="0"/>
        <w:jc w:val="center"/>
        <w:rPr>
          <w:rFonts w:ascii="Times New Roman" w:hAnsi="Times New Roman" w:cs="Times New Roman"/>
        </w:rPr>
      </w:pPr>
      <w:r>
        <w:rPr/>
      </w:r>
    </w:p>
    <w:sectPr>
      <w:headerReference w:type="default" r:id="rId2"/>
      <w:footerReference w:type="default" r:id="rId3"/>
      <w:type w:val="nextPage"/>
      <w:pgSz w:w="11906" w:h="16838"/>
      <w:pgMar w:left="1701" w:right="851" w:gutter="0" w:header="709" w:top="1701" w:footer="737" w:bottom="851"/>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Futura-BoldOblique">
    <w:altName w:val="Bookman Old"/>
    <w:charset w:val="00"/>
    <w:family w:val="roman"/>
    <w:pitch w:val="variable"/>
  </w:font>
  <w:font w:name="Segoe UI">
    <w:charset w:val="00"/>
    <w:family w:val="roman"/>
    <w:pitch w:val="variable"/>
  </w:font>
  <w:font w:name="Palatino Linotype">
    <w:charset w:val="00"/>
    <w:family w:val="roman"/>
    <w:pitch w:val="variable"/>
  </w:font>
  <w:font w:name="OpenSymbol">
    <w:altName w:val="Arial Unicode MS"/>
    <w:charset w:val="00"/>
    <w:family w:val="roman"/>
    <w:pitch w:val="variable"/>
  </w:font>
  <w:font w:name="Calibri Light">
    <w:charset w:val="00"/>
    <w:family w:val="roman"/>
    <w:pitch w:val="variable"/>
  </w:font>
  <w:font w:name="Liberation Sans">
    <w:altName w:val="Arial"/>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777244049"/>
    </w:sdtPr>
    <w:sdtContent>
      <w:p>
        <w:pPr>
          <w:pStyle w:val="Rodap"/>
          <w:jc w:val="right"/>
          <w:rPr/>
        </w:pPr>
        <w:r>
          <w:rPr/>
          <w:fldChar w:fldCharType="begin"/>
        </w:r>
        <w:r>
          <w:rPr/>
          <w:instrText xml:space="preserve"> PAGE </w:instrText>
        </w:r>
        <w:r>
          <w:rPr/>
          <w:fldChar w:fldCharType="separate"/>
        </w:r>
        <w:r>
          <w:rPr/>
          <w:t>11</w:t>
        </w:r>
        <w:r>
          <w:rPr/>
          <w:fldChar w:fldCharType="end"/>
        </w:r>
        <w:r>
          <w:rPr/>
          <w:t>/11</w:t>
        </w:r>
      </w:p>
    </w:sdtContent>
  </w:sdt>
  <w:p>
    <w:pPr>
      <w:pStyle w:val="Rodap"/>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abealho"/>
      <w:tabs>
        <w:tab w:val="center" w:pos="4252" w:leader="none"/>
        <w:tab w:val="left" w:pos="4940" w:leader="none"/>
        <w:tab w:val="right" w:pos="8504" w:leader="none"/>
      </w:tabs>
      <w:rPr/>
    </w:pPr>
    <w:r>
      <mc:AlternateContent>
        <mc:Choice Requires="wps">
          <w:drawing>
            <wp:anchor behindDoc="1" distT="0" distB="0" distL="0" distR="0" simplePos="0" locked="0" layoutInCell="0" allowOverlap="1" relativeHeight="22" wp14:anchorId="39B734CF">
              <wp:simplePos x="0" y="0"/>
              <wp:positionH relativeFrom="margin">
                <wp:posOffset>2098675</wp:posOffset>
              </wp:positionH>
              <wp:positionV relativeFrom="paragraph">
                <wp:posOffset>67945</wp:posOffset>
              </wp:positionV>
              <wp:extent cx="3953510" cy="477520"/>
              <wp:effectExtent l="0" t="0" r="0" b="0"/>
              <wp:wrapNone/>
              <wp:docPr id="1" name="Caixa de Texto 2"/>
              <a:graphic xmlns:a="http://schemas.openxmlformats.org/drawingml/2006/main">
                <a:graphicData uri="http://schemas.microsoft.com/office/word/2010/wordprocessingShape">
                  <wps:wsp>
                    <wps:cNvSpPr/>
                    <wps:spPr>
                      <a:xfrm>
                        <a:off x="0" y="0"/>
                        <a:ext cx="3953520" cy="477360"/>
                      </a:xfrm>
                      <a:prstGeom prst="rect">
                        <a:avLst/>
                      </a:prstGeom>
                      <a:solidFill>
                        <a:srgbClr val="ffffff"/>
                      </a:solidFill>
                      <a:ln w="9360">
                        <a:noFill/>
                      </a:ln>
                    </wps:spPr>
                    <wps:style>
                      <a:lnRef idx="0"/>
                      <a:fillRef idx="0"/>
                      <a:effectRef idx="0"/>
                      <a:fontRef idx="minor"/>
                    </wps:style>
                    <wps:txbx>
                      <w:txbxContent>
                        <w:p>
                          <w:pPr>
                            <w:pStyle w:val="Contedodoquadro"/>
                            <w:jc w:val="right"/>
                            <w:rPr>
                              <w:color w:val="000000"/>
                            </w:rPr>
                          </w:pPr>
                          <w:r>
                            <w:rPr>
                              <w:rFonts w:cs="Arial" w:ascii="Arial" w:hAnsi="Arial"/>
                              <w:b/>
                              <w:color w:val="000000"/>
                              <w:sz w:val="24"/>
                            </w:rPr>
                            <w:t>SECRETARIA MUNICIPAL DE INFRAESTRUTURA</w:t>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spacing w:before="0" w:after="160"/>
                            <w:jc w:val="right"/>
                            <w:rPr>
                              <w:rFonts w:ascii="Arial" w:hAnsi="Arial" w:cs="Arial"/>
                              <w:b/>
                              <w:b/>
                              <w:sz w:val="24"/>
                            </w:rPr>
                          </w:pPr>
                          <w:r>
                            <w:rPr>
                              <w:rFonts w:cs="Arial" w:ascii="Arial" w:hAnsi="Arial"/>
                              <w:b/>
                              <w:color w:val="000000"/>
                              <w:sz w:val="24"/>
                            </w:rPr>
                          </w:r>
                        </w:p>
                      </w:txbxContent>
                    </wps:txbx>
                    <wps:bodyPr anchor="t">
                      <a:noAutofit/>
                    </wps:bodyPr>
                  </wps:wsp>
                </a:graphicData>
              </a:graphic>
            </wp:anchor>
          </w:drawing>
        </mc:Choice>
        <mc:Fallback>
          <w:pict>
            <v:rect id="shape_0" ID="Caixa de Texto 2" path="m0,0l-2147483645,0l-2147483645,-2147483646l0,-2147483646xe" fillcolor="white" stroked="f" o:allowincell="f" style="position:absolute;margin-left:165.25pt;margin-top:5.35pt;width:311.25pt;height:37.55pt;mso-wrap-style:square;v-text-anchor:top;mso-position-horizontal-relative:margin" wp14:anchorId="39B734CF">
              <v:fill o:detectmouseclick="t" type="solid" color2="black"/>
              <v:stroke color="#3465a4" weight="9360" joinstyle="round" endcap="flat"/>
              <v:textbox>
                <w:txbxContent>
                  <w:p>
                    <w:pPr>
                      <w:pStyle w:val="Contedodoquadro"/>
                      <w:jc w:val="right"/>
                      <w:rPr>
                        <w:color w:val="000000"/>
                      </w:rPr>
                    </w:pPr>
                    <w:r>
                      <w:rPr>
                        <w:rFonts w:cs="Arial" w:ascii="Arial" w:hAnsi="Arial"/>
                        <w:b/>
                        <w:color w:val="000000"/>
                        <w:sz w:val="24"/>
                      </w:rPr>
                      <w:t>SECRETARIA MUNICIPAL DE INFRAESTRUTURA</w:t>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spacing w:before="0" w:after="160"/>
                      <w:jc w:val="right"/>
                      <w:rPr>
                        <w:rFonts w:ascii="Arial" w:hAnsi="Arial" w:cs="Arial"/>
                        <w:b/>
                        <w:b/>
                        <w:sz w:val="24"/>
                      </w:rPr>
                    </w:pPr>
                    <w:r>
                      <w:rPr>
                        <w:rFonts w:cs="Arial" w:ascii="Arial" w:hAnsi="Arial"/>
                        <w:b/>
                        <w:color w:val="000000"/>
                        <w:sz w:val="24"/>
                      </w:rPr>
                    </w:r>
                  </w:p>
                </w:txbxContent>
              </v:textbox>
              <w10:wrap type="none"/>
            </v:rect>
          </w:pict>
        </mc:Fallback>
      </mc:AlternateContent>
    </w:r>
    <w:r>
      <w:rPr>
        <w:rFonts w:cs="Arial" w:ascii="Arial" w:hAnsi="Arial"/>
        <w:sz w:val="24"/>
        <w:szCs w:val="24"/>
        <w:lang w:eastAsia="pt-BR"/>
      </w:rPr>
      <w:t xml:space="preserve"> </w:t>
    </w:r>
    <w:r>
      <w:rPr/>
      <w:drawing>
        <wp:inline distT="0" distB="0" distL="0" distR="0">
          <wp:extent cx="1652270" cy="499745"/>
          <wp:effectExtent l="0" t="0" r="0" b="0"/>
          <wp:docPr id="3" name="Imagem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3" descr=""/>
                  <pic:cNvPicPr>
                    <a:picLocks noChangeAspect="1" noChangeArrowheads="1"/>
                  </pic:cNvPicPr>
                </pic:nvPicPr>
                <pic:blipFill>
                  <a:blip r:embed="rId1"/>
                  <a:stretch>
                    <a:fillRect/>
                  </a:stretch>
                </pic:blipFill>
                <pic:spPr bwMode="auto">
                  <a:xfrm>
                    <a:off x="0" y="0"/>
                    <a:ext cx="1652270" cy="499745"/>
                  </a:xfrm>
                  <a:prstGeom prst="rect">
                    <a:avLst/>
                  </a:prstGeom>
                </pic:spPr>
              </pic:pic>
            </a:graphicData>
          </a:graphic>
        </wp:inline>
      </w:drawing>
    </w:r>
    <w:r>
      <w:rPr/>
      <w:tab/>
    </w:r>
  </w:p>
  <w:p>
    <w:pPr>
      <w:pStyle w:val="Cabealho"/>
      <w:tabs>
        <w:tab w:val="left" w:pos="1590" w:leader="none"/>
        <w:tab w:val="center" w:pos="4252" w:leader="none"/>
        <w:tab w:val="right" w:pos="8504" w:leader="none"/>
      </w:tabs>
      <w:rPr/>
    </w:pPr>
    <w:r>
      <w:rPr/>
      <w:tab/>
    </w:r>
    <w:r>
      <w:rPr/>
      <w:drawing>
        <wp:inline distT="0" distB="0" distL="0" distR="0">
          <wp:extent cx="5939790" cy="46355"/>
          <wp:effectExtent l="0" t="0" r="0" b="0"/>
          <wp:docPr id="4" name="Imagem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7" descr=""/>
                  <pic:cNvPicPr>
                    <a:picLocks noChangeAspect="1" noChangeArrowheads="1"/>
                  </pic:cNvPicPr>
                </pic:nvPicPr>
                <pic:blipFill>
                  <a:blip r:embed="rId2"/>
                  <a:stretch>
                    <a:fillRect/>
                  </a:stretch>
                </pic:blipFill>
                <pic:spPr bwMode="auto">
                  <a:xfrm>
                    <a:off x="0" y="0"/>
                    <a:ext cx="5939790" cy="4635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decimal"/>
      <w:suff w:val="space"/>
      <w:lvlText w:val="%1."/>
      <w:lvlJc w:val="left"/>
      <w:pPr>
        <w:tabs>
          <w:tab w:val="num" w:pos="0"/>
        </w:tabs>
        <w:ind w:left="0" w:hanging="0"/>
      </w:pPr>
      <w:rPr>
        <w:sz w:val="20"/>
        <w:i w:val="false"/>
        <w:b/>
        <w:szCs w:val="20"/>
        <w:rFonts w:ascii="Palatino Linotype" w:hAnsi="Palatino Linotype" w:eastAsia="Arial Unicode MS" w:cs="Palatino Linotype"/>
      </w:rPr>
    </w:lvl>
    <w:lvl w:ilvl="1">
      <w:start w:val="1"/>
      <w:numFmt w:val="decimal"/>
      <w:suff w:val="space"/>
      <w:lvlText w:val="%1.%2."/>
      <w:lvlJc w:val="left"/>
      <w:pPr>
        <w:tabs>
          <w:tab w:val="num" w:pos="0"/>
        </w:tabs>
        <w:ind w:left="284" w:hanging="0"/>
      </w:pPr>
      <w:rPr>
        <w:sz w:val="20"/>
        <w:i w:val="false"/>
        <w:b/>
        <w:szCs w:val="20"/>
        <w:rFonts w:ascii="Palatino Linotype" w:hAnsi="Palatino Linotype" w:eastAsia="Arial Unicode MS" w:cs="Palatino Linotype"/>
      </w:rPr>
    </w:lvl>
    <w:lvl w:ilvl="2">
      <w:start w:val="1"/>
      <w:numFmt w:val="decimal"/>
      <w:suff w:val="space"/>
      <w:lvlText w:val="%1.%2.%3."/>
      <w:lvlJc w:val="left"/>
      <w:pPr>
        <w:tabs>
          <w:tab w:val="num" w:pos="0"/>
        </w:tabs>
        <w:ind w:left="1134" w:hanging="0"/>
      </w:pPr>
      <w:rPr>
        <w:sz w:val="20"/>
        <w:i w:val="false"/>
        <w:b/>
        <w:szCs w:val="20"/>
        <w:rFonts w:ascii="Palatino Linotype" w:hAnsi="Palatino Linotype" w:eastAsia="Arial Unicode MS" w:cs="Palatino Linotype"/>
      </w:rPr>
    </w:lvl>
    <w:lvl w:ilvl="3">
      <w:start w:val="1"/>
      <w:numFmt w:val="decimal"/>
      <w:suff w:val="space"/>
      <w:lvlText w:val="%1.%2.%3.%4."/>
      <w:lvlJc w:val="left"/>
      <w:pPr>
        <w:tabs>
          <w:tab w:val="num" w:pos="0"/>
        </w:tabs>
        <w:ind w:left="1985" w:hanging="0"/>
      </w:pPr>
      <w:rPr>
        <w:sz w:val="20"/>
        <w:i w:val="false"/>
        <w:b/>
        <w:szCs w:val="20"/>
        <w:rFonts w:ascii="Palatino Linotype" w:hAnsi="Palatino Linotype" w:eastAsia="Arial Unicode MS" w:cs="Palatino Linotype"/>
      </w:rPr>
    </w:lvl>
    <w:lvl w:ilvl="4">
      <w:start w:val="1"/>
      <w:numFmt w:val="lowerLetter"/>
      <w:lvlText w:val="%5."/>
      <w:lvlJc w:val="left"/>
      <w:pPr>
        <w:tabs>
          <w:tab w:val="num" w:pos="0"/>
        </w:tabs>
        <w:ind w:left="2835" w:hanging="0"/>
      </w:pPr>
      <w:rPr>
        <w:sz w:val="20"/>
        <w:i w:val="false"/>
        <w:b/>
        <w:szCs w:val="20"/>
        <w:rFonts w:eastAsia="Arial Unicode MS" w:cs="Palatino Linotype"/>
      </w:rPr>
    </w:lvl>
    <w:lvl w:ilvl="5">
      <w:start w:val="1"/>
      <w:numFmt w:val="decimal"/>
      <w:lvlText w:val="%1.%2.%3.%4.%5.%6."/>
      <w:lvlJc w:val="left"/>
      <w:pPr>
        <w:tabs>
          <w:tab w:val="num" w:pos="2880"/>
        </w:tabs>
        <w:ind w:left="2736" w:hanging="936"/>
      </w:pPr>
      <w:rPr/>
    </w:lvl>
    <w:lvl w:ilvl="6">
      <w:start w:val="1"/>
      <w:numFmt w:val="decimal"/>
      <w:lvlText w:val="%1.%2.%3.%4.%5.%6.%7."/>
      <w:lvlJc w:val="left"/>
      <w:pPr>
        <w:tabs>
          <w:tab w:val="num" w:pos="3600"/>
        </w:tabs>
        <w:ind w:left="3240" w:hanging="1080"/>
      </w:pPr>
      <w:rPr/>
    </w:lvl>
    <w:lvl w:ilvl="7">
      <w:start w:val="1"/>
      <w:numFmt w:val="decimal"/>
      <w:lvlText w:val="%1.%2.%3.%4.%5.%6.%7.%8."/>
      <w:lvlJc w:val="left"/>
      <w:pPr>
        <w:tabs>
          <w:tab w:val="num" w:pos="3960"/>
        </w:tabs>
        <w:ind w:left="3744" w:hanging="1224"/>
      </w:pPr>
      <w:rPr/>
    </w:lvl>
    <w:lvl w:ilvl="8">
      <w:start w:val="1"/>
      <w:numFmt w:val="decimal"/>
      <w:lvlText w:val="%1.%2.%3.%4.%5.%6.%7.%8.%9."/>
      <w:lvlJc w:val="left"/>
      <w:pPr>
        <w:tabs>
          <w:tab w:val="num" w:pos="4680"/>
        </w:tabs>
        <w:ind w:left="4320" w:hanging="144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0"/>
  <w:defaultTabStop w:val="306"/>
  <w:autoHyphenation w:val="true"/>
  <w:hyphenationZone w:val="425"/>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t-B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color w:val="00000A"/>
      <w:kern w:val="0"/>
      <w:sz w:val="22"/>
      <w:szCs w:val="22"/>
      <w:lang w:val="pt-BR" w:eastAsia="en-US" w:bidi="ar-SA"/>
    </w:rPr>
  </w:style>
  <w:style w:type="paragraph" w:styleId="Ttulo3">
    <w:name w:val="Heading 3"/>
    <w:basedOn w:val="Normal"/>
    <w:next w:val="Normal"/>
    <w:qFormat/>
    <w:pPr>
      <w:keepNext w:val="true"/>
      <w:numPr>
        <w:ilvl w:val="2"/>
        <w:numId w:val="1"/>
      </w:numPr>
      <w:outlineLvl w:val="2"/>
    </w:pPr>
    <w:rPr>
      <w:rFonts w:ascii="Futura-BoldOblique;Bookman Old" w:hAnsi="Futura-BoldOblique;Bookman Old" w:cs="Futura-BoldOblique;Bookman Old"/>
      <w:sz w:val="36"/>
      <w:szCs w:val="20"/>
    </w:rPr>
  </w:style>
  <w:style w:type="paragraph" w:styleId="Ttulo4">
    <w:name w:val="Heading 4"/>
    <w:basedOn w:val="Normal"/>
    <w:next w:val="Normal"/>
    <w:qFormat/>
    <w:pPr>
      <w:keepNext w:val="true"/>
      <w:numPr>
        <w:ilvl w:val="3"/>
        <w:numId w:val="1"/>
      </w:numPr>
      <w:spacing w:before="0" w:after="360"/>
      <w:jc w:val="center"/>
      <w:outlineLvl w:val="3"/>
    </w:pPr>
    <w:rPr>
      <w:b/>
      <w:bCs/>
      <w:u w:val="single"/>
      <w:shd w:fill="B3B3B3" w:val="clear"/>
    </w:rPr>
  </w:style>
  <w:style w:type="character" w:styleId="DefaultParagraphFont" w:default="1">
    <w:name w:val="Default Paragraph Font"/>
    <w:uiPriority w:val="1"/>
    <w:semiHidden/>
    <w:unhideWhenUsed/>
    <w:qFormat/>
    <w:rPr/>
  </w:style>
  <w:style w:type="character" w:styleId="CabealhoChar" w:customStyle="1">
    <w:name w:val="Cabeçalho Char"/>
    <w:basedOn w:val="DefaultParagraphFont"/>
    <w:uiPriority w:val="99"/>
    <w:qFormat/>
    <w:rsid w:val="004445e3"/>
    <w:rPr/>
  </w:style>
  <w:style w:type="character" w:styleId="RodapChar" w:customStyle="1">
    <w:name w:val="Rodapé Char"/>
    <w:basedOn w:val="DefaultParagraphFont"/>
    <w:uiPriority w:val="99"/>
    <w:qFormat/>
    <w:rsid w:val="004445e3"/>
    <w:rPr/>
  </w:style>
  <w:style w:type="character" w:styleId="TextodebaloChar" w:customStyle="1">
    <w:name w:val="Texto de balão Char"/>
    <w:basedOn w:val="DefaultParagraphFont"/>
    <w:link w:val="BalloonText"/>
    <w:uiPriority w:val="99"/>
    <w:semiHidden/>
    <w:qFormat/>
    <w:rsid w:val="005760a9"/>
    <w:rPr>
      <w:rFonts w:ascii="Segoe UI" w:hAnsi="Segoe UI" w:cs="Segoe UI"/>
      <w:sz w:val="18"/>
      <w:szCs w:val="18"/>
    </w:rPr>
  </w:style>
  <w:style w:type="character" w:styleId="Hyperlink1" w:customStyle="1">
    <w:name w:val="Hyperlink1"/>
    <w:qFormat/>
    <w:rPr>
      <w:color w:val="0000FF"/>
      <w:u w:val="single"/>
    </w:rPr>
  </w:style>
  <w:style w:type="character" w:styleId="Nfase">
    <w:name w:val="Emphasis"/>
    <w:qFormat/>
    <w:rPr>
      <w:i/>
      <w:iCs/>
    </w:rPr>
  </w:style>
  <w:style w:type="character" w:styleId="WW8Num2z0" w:customStyle="1">
    <w:name w:val="WW8Num2z0"/>
    <w:qFormat/>
    <w:rPr>
      <w:rFonts w:ascii="Palatino Linotype" w:hAnsi="Palatino Linotype" w:eastAsia="Arial Unicode MS" w:cs="Palatino Linotype"/>
      <w:b/>
      <w:i w:val="false"/>
      <w:sz w:val="20"/>
      <w:szCs w:val="20"/>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Strong">
    <w:name w:val="Strong"/>
    <w:qFormat/>
    <w:rPr>
      <w:b/>
      <w:bCs/>
    </w:rPr>
  </w:style>
  <w:style w:type="character" w:styleId="Annotationreference">
    <w:name w:val="annotation reference"/>
    <w:qFormat/>
    <w:rPr>
      <w:rFonts w:ascii="Times New Roman" w:hAnsi="Times New Roman" w:eastAsia="Times New Roman" w:cs="Times New Roman"/>
      <w:color w:val="000000"/>
      <w:sz w:val="16"/>
      <w:szCs w:val="16"/>
    </w:rPr>
  </w:style>
  <w:style w:type="character" w:styleId="TextodecomentrioChar">
    <w:name w:val="Texto de comentário Char"/>
    <w:qFormat/>
    <w:rPr>
      <w:rFonts w:ascii="Times New Roman" w:hAnsi="Times New Roman" w:eastAsia="Times New Roman" w:cs="Times New Roman"/>
      <w:color w:val="000000"/>
      <w:sz w:val="20"/>
      <w:szCs w:val="20"/>
    </w:rPr>
  </w:style>
  <w:style w:type="character" w:styleId="AssuntodocomentrioChar">
    <w:name w:val="Assunto do comentário Char"/>
    <w:qFormat/>
    <w:rPr>
      <w:rFonts w:ascii="Times New Roman" w:hAnsi="Times New Roman" w:eastAsia="Times New Roman" w:cs="Times New Roman"/>
      <w:b/>
      <w:bCs/>
      <w:color w:val="000000"/>
      <w:sz w:val="20"/>
      <w:szCs w:val="20"/>
    </w:rPr>
  </w:style>
  <w:style w:type="character" w:styleId="Ttulo1Char">
    <w:name w:val="Título 1 Char"/>
    <w:qFormat/>
    <w:rPr>
      <w:rFonts w:ascii="Times New Roman" w:hAnsi="Times New Roman" w:cs="0"/>
      <w:b/>
      <w:bCs/>
      <w:color w:val="000000"/>
      <w:szCs w:val="28"/>
    </w:rPr>
  </w:style>
  <w:style w:type="character" w:styleId="CitaoChar">
    <w:name w:val="Citação Char"/>
    <w:qFormat/>
    <w:rPr>
      <w:rFonts w:ascii="Times New Roman" w:hAnsi="Times New Roman" w:eastAsia="Times New Roman" w:cs="Times New Roman"/>
      <w:i/>
      <w:iCs/>
      <w:color w:val="000000"/>
      <w:sz w:val="24"/>
      <w:szCs w:val="24"/>
    </w:rPr>
  </w:style>
  <w:style w:type="character" w:styleId="Marcas">
    <w:name w:val="Marcas"/>
    <w:qFormat/>
    <w:rPr>
      <w:rFonts w:ascii="OpenSymbol" w:hAnsi="OpenSymbol" w:eastAsia="OpenSymbol" w:cs="OpenSymbol"/>
    </w:rPr>
  </w:style>
  <w:style w:type="character" w:styleId="Normaltextrun">
    <w:name w:val="normaltextrun"/>
    <w:qFormat/>
    <w:rPr/>
  </w:style>
  <w:style w:type="character" w:styleId="Ttulo4Char">
    <w:name w:val="Título 4 Char"/>
    <w:qFormat/>
    <w:rPr>
      <w:rFonts w:ascii="Calibri Light" w:hAnsi="Calibri Light" w:cs="0"/>
      <w:b/>
      <w:bCs/>
      <w:i/>
      <w:iCs/>
      <w:color w:val="5B9BD5"/>
      <w:sz w:val="22"/>
      <w:szCs w:val="24"/>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pPr>
      <w:spacing w:lineRule="auto" w:line="276" w:before="0" w:after="140"/>
    </w:pPr>
    <w:rPr/>
  </w:style>
  <w:style w:type="paragraph" w:styleId="Lista">
    <w:name w:val="List"/>
    <w:basedOn w:val="Corpodetexto1"/>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customStyle="1">
    <w:name w:val="Índice"/>
    <w:basedOn w:val="Normal"/>
    <w:qFormat/>
    <w:pPr>
      <w:suppressLineNumbers/>
    </w:pPr>
    <w:rPr>
      <w:rFonts w:cs="Arial"/>
    </w:rPr>
  </w:style>
  <w:style w:type="paragraph" w:styleId="Ttulododocumento">
    <w:name w:val="Title"/>
    <w:basedOn w:val="Normal"/>
    <w:next w:val="Corpodetexto1"/>
    <w:qFormat/>
    <w:pPr>
      <w:keepNext w:val="true"/>
      <w:spacing w:before="240" w:after="120"/>
    </w:pPr>
    <w:rPr>
      <w:rFonts w:ascii="Liberation Sans" w:hAnsi="Liberation Sans" w:eastAsia="Microsoft YaHei" w:cs="Arial"/>
      <w:sz w:val="28"/>
      <w:szCs w:val="28"/>
    </w:rPr>
  </w:style>
  <w:style w:type="paragraph" w:styleId="Corpodetexto1" w:customStyle="1">
    <w:name w:val="Corpo de texto1"/>
    <w:basedOn w:val="Normal"/>
    <w:qFormat/>
    <w:pPr>
      <w:spacing w:before="0" w:after="120"/>
    </w:pPr>
    <w:rPr/>
  </w:style>
  <w:style w:type="paragraph" w:styleId="Caption">
    <w:name w:val="caption"/>
    <w:basedOn w:val="Normal"/>
    <w:qFormat/>
    <w:pPr>
      <w:suppressLineNumbers/>
      <w:spacing w:before="120" w:after="120"/>
    </w:pPr>
    <w:rPr>
      <w:rFonts w:cs="Arial"/>
      <w:i/>
      <w:iCs/>
      <w:sz w:val="24"/>
      <w:szCs w:val="24"/>
    </w:rPr>
  </w:style>
  <w:style w:type="paragraph" w:styleId="CabealhoeRodap" w:customStyle="1">
    <w:name w:val="Cabeçalho e Rodapé"/>
    <w:basedOn w:val="Normal"/>
    <w:qFormat/>
    <w:pPr/>
    <w:rPr/>
  </w:style>
  <w:style w:type="paragraph" w:styleId="Cabealho">
    <w:name w:val="Header"/>
    <w:basedOn w:val="Normal"/>
    <w:link w:val="CabealhoChar"/>
    <w:uiPriority w:val="99"/>
    <w:unhideWhenUsed/>
    <w:rsid w:val="004445e3"/>
    <w:pPr>
      <w:tabs>
        <w:tab w:val="clear" w:pos="306"/>
        <w:tab w:val="center" w:pos="4252" w:leader="none"/>
        <w:tab w:val="right" w:pos="8504" w:leader="none"/>
      </w:tabs>
      <w:spacing w:lineRule="auto" w:line="240" w:before="0" w:after="0"/>
    </w:pPr>
    <w:rPr/>
  </w:style>
  <w:style w:type="paragraph" w:styleId="Rodap">
    <w:name w:val="Footer"/>
    <w:basedOn w:val="Normal"/>
    <w:link w:val="RodapChar"/>
    <w:uiPriority w:val="99"/>
    <w:unhideWhenUsed/>
    <w:rsid w:val="004445e3"/>
    <w:pPr>
      <w:tabs>
        <w:tab w:val="clear" w:pos="306"/>
        <w:tab w:val="center" w:pos="4252" w:leader="none"/>
        <w:tab w:val="right" w:pos="8504" w:leader="none"/>
      </w:tabs>
      <w:spacing w:lineRule="auto" w:line="240" w:before="0" w:after="0"/>
    </w:pPr>
    <w:rPr/>
  </w:style>
  <w:style w:type="paragraph" w:styleId="BalloonText">
    <w:name w:val="Balloon Text"/>
    <w:basedOn w:val="Normal"/>
    <w:link w:val="TextodebaloChar"/>
    <w:uiPriority w:val="99"/>
    <w:semiHidden/>
    <w:unhideWhenUsed/>
    <w:qFormat/>
    <w:rsid w:val="005760a9"/>
    <w:pPr>
      <w:spacing w:lineRule="auto" w:line="240" w:before="0" w:after="0"/>
    </w:pPr>
    <w:rPr>
      <w:rFonts w:ascii="Segoe UI" w:hAnsi="Segoe UI" w:cs="Segoe UI"/>
      <w:sz w:val="18"/>
      <w:szCs w:val="18"/>
    </w:rPr>
  </w:style>
  <w:style w:type="paragraph" w:styleId="Contedodoquadro" w:customStyle="1">
    <w:name w:val="Conteúdo do quadro"/>
    <w:basedOn w:val="Normal"/>
    <w:qFormat/>
    <w:pPr/>
    <w:rPr/>
  </w:style>
  <w:style w:type="paragraph" w:styleId="Contedodatabela" w:customStyle="1">
    <w:name w:val="Conteúdo da tabela"/>
    <w:basedOn w:val="Normal"/>
    <w:qFormat/>
    <w:pPr>
      <w:suppressLineNumbers/>
    </w:pPr>
    <w:rPr/>
  </w:style>
  <w:style w:type="paragraph" w:styleId="Ttulodetabela" w:customStyle="1">
    <w:name w:val="Título de tabela"/>
    <w:basedOn w:val="Contedodatabela"/>
    <w:qFormat/>
    <w:pPr>
      <w:jc w:val="center"/>
    </w:pPr>
    <w:rPr>
      <w:b/>
      <w:bCs/>
    </w:rPr>
  </w:style>
  <w:style w:type="paragraph" w:styleId="ListParagraph">
    <w:name w:val="List Paragraph"/>
    <w:basedOn w:val="Normal"/>
    <w:qFormat/>
    <w:pPr>
      <w:spacing w:before="0" w:after="160"/>
      <w:ind w:left="720" w:hanging="0"/>
      <w:contextualSpacing/>
    </w:pPr>
    <w:rPr/>
  </w:style>
  <w:style w:type="paragraph" w:styleId="Xm6224323595084648008msolistparagraph">
    <w:name w:val="x_m_6224323595084648008msolistparagraph"/>
    <w:basedOn w:val="Normal"/>
    <w:qFormat/>
    <w:pPr>
      <w:spacing w:lineRule="exact" w:line="240" w:beforeAutospacing="1" w:afterAutospacing="1"/>
    </w:pPr>
    <w:rPr>
      <w:rFonts w:ascii="Times New Roman" w:hAnsi="Times New Roman" w:eastAsia="Times New Roman" w:cs="Times New Roman"/>
      <w:lang w:eastAsia="pt-BR"/>
    </w:rPr>
  </w:style>
  <w:style w:type="paragraph" w:styleId="Xmsonormal">
    <w:name w:val="x_msonormal"/>
    <w:basedOn w:val="Normal"/>
    <w:qFormat/>
    <w:pPr>
      <w:spacing w:lineRule="exact" w:line="240" w:beforeAutospacing="1" w:afterAutospacing="1"/>
    </w:pPr>
    <w:rPr>
      <w:rFonts w:ascii="Times New Roman" w:hAnsi="Times New Roman" w:eastAsia="Times New Roman" w:cs="Times New Roman"/>
      <w:lang w:eastAsia="pt-BR"/>
    </w:rPr>
  </w:style>
  <w:style w:type="paragraph" w:styleId="Annotationtext">
    <w:name w:val="annotation text"/>
    <w:basedOn w:val="Normal"/>
    <w:qFormat/>
    <w:pPr>
      <w:spacing w:lineRule="exact" w:line="240"/>
    </w:pPr>
    <w:rPr>
      <w:sz w:val="20"/>
      <w:szCs w:val="20"/>
    </w:rPr>
  </w:style>
  <w:style w:type="paragraph" w:styleId="Annotationsubject">
    <w:name w:val="annotation subject"/>
    <w:qFormat/>
    <w:pPr>
      <w:widowControl/>
      <w:suppressAutoHyphens w:val="true"/>
      <w:bidi w:val="0"/>
      <w:spacing w:lineRule="exact" w:line="240" w:before="0" w:after="0"/>
      <w:jc w:val="left"/>
    </w:pPr>
    <w:rPr>
      <w:rFonts w:ascii="Calibri" w:hAnsi="Calibri" w:eastAsia="Calibri" w:cs="0"/>
      <w:b/>
      <w:bCs/>
      <w:color w:val="auto"/>
      <w:kern w:val="0"/>
      <w:sz w:val="20"/>
      <w:szCs w:val="20"/>
      <w:lang w:val="pt-BR" w:eastAsia="en-US" w:bidi="ar-SA"/>
    </w:rPr>
  </w:style>
  <w:style w:type="paragraph" w:styleId="Revision">
    <w:name w:val="Revision"/>
    <w:qFormat/>
    <w:pPr>
      <w:widowControl/>
      <w:suppressAutoHyphens w:val="true"/>
      <w:bidi w:val="0"/>
      <w:spacing w:before="0" w:after="0"/>
      <w:jc w:val="left"/>
    </w:pPr>
    <w:rPr>
      <w:rFonts w:ascii="Calibri" w:hAnsi="Calibri" w:eastAsia="Calibri" w:cs="0"/>
      <w:color w:val="auto"/>
      <w:kern w:val="0"/>
      <w:sz w:val="22"/>
      <w:szCs w:val="22"/>
      <w:lang w:val="pt-BR" w:eastAsia="en-US" w:bidi="ar-SA"/>
    </w:rPr>
  </w:style>
  <w:style w:type="paragraph" w:styleId="NoSpacing">
    <w:name w:val="No Spacing"/>
    <w:qFormat/>
    <w:pPr>
      <w:widowControl/>
      <w:suppressAutoHyphens w:val="true"/>
      <w:bidi w:val="0"/>
      <w:spacing w:before="0" w:after="0"/>
      <w:jc w:val="left"/>
    </w:pPr>
    <w:rPr>
      <w:rFonts w:ascii="Calibri" w:hAnsi="Calibri" w:eastAsia="Calibri" w:cs="0"/>
      <w:color w:val="auto"/>
      <w:kern w:val="0"/>
      <w:sz w:val="22"/>
      <w:szCs w:val="22"/>
      <w:lang w:val="pt-BR" w:eastAsia="en-US" w:bidi="ar-SA"/>
    </w:rPr>
  </w:style>
  <w:style w:type="paragraph" w:styleId="Quote">
    <w:name w:val="Quote"/>
    <w:basedOn w:val="Normal"/>
    <w:next w:val="Normal"/>
    <w:qFormat/>
    <w:pPr/>
    <w:rPr>
      <w:i/>
      <w:iCs/>
      <w:color w:val="000000"/>
    </w:rPr>
  </w:style>
  <w:style w:type="paragraph" w:styleId="NormalWeb">
    <w:name w:val="Normal (Web)"/>
    <w:basedOn w:val="Normal"/>
    <w:qFormat/>
    <w:pPr>
      <w:spacing w:lineRule="exact" w:line="312" w:beforeAutospacing="1" w:after="142"/>
      <w:ind w:firstLine="709"/>
      <w:jc w:val="both"/>
    </w:pPr>
    <w:rPr>
      <w:rFonts w:ascii="Times New Roman" w:hAnsi="Times New Roman" w:eastAsia="Times New Roman" w:cs="Times New Roman"/>
      <w:lang w:eastAsia="pt-BR"/>
    </w:rPr>
  </w:style>
  <w:style w:type="paragraph" w:styleId="Western">
    <w:name w:val="western"/>
    <w:basedOn w:val="Normal"/>
    <w:qFormat/>
    <w:pPr>
      <w:spacing w:before="280" w:after="119"/>
    </w:pPr>
    <w:rPr/>
  </w:style>
  <w:style w:type="paragraph" w:styleId="Contedodetabela">
    <w:name w:val="Conteúdo de tabela"/>
    <w:basedOn w:val="Normal"/>
    <w:qFormat/>
    <w:pPr/>
    <w:rPr/>
  </w:style>
  <w:style w:type="numbering" w:styleId="NoList" w:default="1">
    <w:name w:val="No List"/>
    <w:uiPriority w:val="99"/>
    <w:semiHidden/>
    <w:unhideWhenUsed/>
    <w:qFormat/>
  </w:style>
  <w:style w:type="numbering" w:styleId="WW8Num2" w:customStyle="1">
    <w:name w:val="WW8Num2"/>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1F705B-E180-4921-95D8-ADC4F899A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Application>LibreOffice/7.4.2.3$Windows_X86_64 LibreOffice_project/382eef1f22670f7f4118c8c2dd222ec7ad009daf</Application>
  <AppVersion>15.0000</AppVersion>
  <Pages>11</Pages>
  <Words>3833</Words>
  <Characters>22789</Characters>
  <CharactersWithSpaces>26378</CharactersWithSpaces>
  <Paragraphs>145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Thais da Silva</dc:creator>
  <dc:description/>
  <dc:language>pt-BR</dc:language>
  <cp:lastModifiedBy/>
  <dcterms:modified xsi:type="dcterms:W3CDTF">2023-05-26T12:04:01Z</dcterms:modified>
  <cp:revision>65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