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pPr>
      <w:r>
        <w:rPr>
          <w:rFonts w:cs="Palatino Linotype" w:ascii="Palatino Linotype" w:hAnsi="Palatino Linotype"/>
          <w:sz w:val="20"/>
          <w:szCs w:val="20"/>
          <w:lang w:eastAsia="ar-SA"/>
        </w:rPr>
        <w:t>(OBRA DE ENGENHARIA)</w:t>
      </w:r>
    </w:p>
    <w:p>
      <w:pPr>
        <w:pStyle w:val="Normal"/>
        <w:numPr>
          <w:ilvl w:val="0"/>
          <w:numId w:val="2"/>
        </w:numPr>
        <w:spacing w:before="0" w:after="283"/>
        <w:jc w:val="both"/>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Obras e Serviços de Con</w:t>
      </w:r>
      <w:r>
        <w:rPr>
          <w:rFonts w:eastAsia="Arial Unicode MS" w:cs="Palatino Linotype" w:ascii="Palatino Linotype" w:hAnsi="Palatino Linotype"/>
          <w:b/>
          <w:sz w:val="20"/>
          <w:szCs w:val="20"/>
          <w:lang w:eastAsia="zxx"/>
        </w:rPr>
        <w:t>clusão</w:t>
      </w:r>
      <w:r>
        <w:rPr>
          <w:rFonts w:eastAsia="Arial Unicode MS" w:cs="Palatino Linotype" w:ascii="Palatino Linotype" w:hAnsi="Palatino Linotype"/>
          <w:b/>
          <w:sz w:val="20"/>
          <w:szCs w:val="20"/>
          <w:lang w:eastAsia="zxx"/>
        </w:rPr>
        <w:t xml:space="preserve"> de uma Coberta </w:t>
      </w:r>
      <w:r>
        <w:rPr>
          <w:rFonts w:eastAsia="Arial Unicode MS" w:cs="Palatino Linotype" w:ascii="Palatino Linotype" w:hAnsi="Palatino Linotype"/>
          <w:b/>
          <w:sz w:val="20"/>
          <w:szCs w:val="20"/>
          <w:lang w:eastAsia="zxx"/>
        </w:rPr>
        <w:t>d</w:t>
      </w:r>
      <w:r>
        <w:rPr>
          <w:rFonts w:eastAsia="Arial Unicode MS" w:cs="Palatino Linotype" w:ascii="Palatino Linotype" w:hAnsi="Palatino Linotype"/>
          <w:b/>
          <w:sz w:val="20"/>
          <w:szCs w:val="20"/>
          <w:lang w:eastAsia="zxx"/>
        </w:rPr>
        <w:t>e Quadra Poliesportiva Pequena, n</w:t>
      </w:r>
      <w:r>
        <w:rPr>
          <w:rFonts w:eastAsia="Arial Unicode MS" w:cs="Palatino Linotype" w:ascii="Palatino Linotype" w:hAnsi="Palatino Linotype"/>
          <w:b/>
          <w:sz w:val="20"/>
          <w:szCs w:val="20"/>
          <w:lang w:eastAsia="zxx"/>
        </w:rPr>
        <w:t xml:space="preserve">a Escola de Ensino Fundamental Domingos </w:t>
      </w:r>
      <w:r>
        <w:rPr>
          <w:rFonts w:eastAsia="Arial Unicode MS" w:cs="Palatino Linotype" w:ascii="Palatino Linotype" w:hAnsi="Palatino Linotype"/>
          <w:b/>
          <w:sz w:val="20"/>
          <w:szCs w:val="20"/>
          <w:lang w:eastAsia="zxx"/>
        </w:rPr>
        <w:t>Lopes</w:t>
      </w:r>
      <w:r>
        <w:rPr>
          <w:rFonts w:eastAsia="Arial Unicode MS" w:cs="Palatino Linotype" w:ascii="Palatino Linotype" w:hAnsi="Palatino Linotype"/>
          <w:b/>
          <w:sz w:val="20"/>
          <w:szCs w:val="20"/>
          <w:lang w:eastAsia="zxx"/>
        </w:rPr>
        <w:t xml:space="preserve"> – Bairro </w:t>
      </w:r>
      <w:r>
        <w:rPr>
          <w:rFonts w:eastAsia="Arial Unicode MS" w:cs="Palatino Linotype" w:ascii="Palatino Linotype" w:hAnsi="Palatino Linotype"/>
          <w:b/>
          <w:sz w:val="20"/>
          <w:szCs w:val="20"/>
          <w:lang w:eastAsia="zxx"/>
        </w:rPr>
        <w:t>Canafístula</w:t>
      </w:r>
      <w:r>
        <w:rPr>
          <w:rFonts w:eastAsia="Arial Unicode MS" w:cs="Palatino Linotype" w:ascii="Palatino Linotype" w:hAnsi="Palatino Linotype"/>
          <w:b/>
          <w:sz w:val="20"/>
          <w:szCs w:val="20"/>
          <w:lang w:eastAsia="zxx"/>
        </w:rPr>
        <w:t xml:space="preserve">, </w:t>
      </w:r>
      <w:r>
        <w:rPr>
          <w:rFonts w:eastAsia="Arial Unicode MS" w:cs="Palatino Linotype" w:ascii="Palatino Linotype" w:hAnsi="Palatino Linotype"/>
          <w:b/>
          <w:sz w:val="20"/>
          <w:szCs w:val="20"/>
          <w:lang w:eastAsia="zxx"/>
        </w:rPr>
        <w:t xml:space="preserve">no </w:t>
      </w:r>
      <w:r>
        <w:rPr>
          <w:rFonts w:eastAsia="Arial Unicode MS" w:cs="Palatino Linotype" w:ascii="Palatino Linotype" w:hAnsi="Palatino Linotype"/>
          <w:b/>
          <w:sz w:val="20"/>
          <w:szCs w:val="20"/>
          <w:lang w:eastAsia="zxx"/>
        </w:rPr>
        <w:t>Município de Arapiraca/AL</w:t>
      </w:r>
      <w:bookmarkStart w:id="0" w:name="__DdeLink__4059_114347092"/>
      <w:bookmarkEnd w:id="0"/>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 </w:t>
      </w: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competência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before="0" w:after="283"/>
        <w:ind w:left="567" w:right="0" w:hanging="0"/>
        <w:jc w:val="both"/>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medição de serviços até que sejam sanadas todas as eventuais pendências que possam vir a ser apontadas no Termo de Recebimento Provisório;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before="0" w:after="360"/>
        <w:jc w:val="both"/>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1"/>
          <w:numId w:val="2"/>
        </w:numPr>
        <w:spacing w:before="0" w:after="360"/>
        <w:jc w:val="both"/>
        <w:rPr/>
      </w:pPr>
      <w:r>
        <w:rPr>
          <w:rFonts w:cs="Palatino Linotype" w:ascii="Palatino Linotype" w:hAnsi="Palatino Linotype"/>
          <w:sz w:val="20"/>
          <w:szCs w:val="20"/>
          <w:lang w:eastAsia="ar-SA"/>
        </w:rPr>
        <w:t>Cada etapa de serviço deverá ter funcionalidade ou conclusão do item descrito, para efeito de recebimento e posterior medição e pagamento.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before="0" w:after="360"/>
        <w:jc w:val="both"/>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 Contudo a medição deverá obedecer no minimo o valor existente no cronograma.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before="0" w:after="360"/>
        <w:ind w:left="567" w:right="0" w:hanging="0"/>
        <w:jc w:val="both"/>
        <w:rPr/>
      </w:pPr>
      <w:r>
        <w:rPr>
          <w:rFonts w:cs="Palatino Linotype" w:ascii="Palatino Linotype" w:hAnsi="Palatino Linotype"/>
          <w:sz w:val="20"/>
          <w:szCs w:val="20"/>
        </w:rPr>
        <w:t>comprovação das ligações definitivas de energia, água, telefone e gás,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laudo de vistoria do corpo de bombeiros aprovando o serviço,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carta "habite-se", emitida pela prefeitura, se for o caso.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before="0" w:after="360"/>
        <w:jc w:val="both"/>
        <w:rPr/>
      </w:pPr>
      <w:r>
        <w:rPr>
          <w:rFonts w:cs="Palatino Linotype" w:ascii="Palatino Linotype" w:hAnsi="Palatino Linotype"/>
          <w:color w:val="000000"/>
          <w:sz w:val="20"/>
          <w:szCs w:val="20"/>
        </w:rPr>
        <w:t>Declaração que tem condições financeiras para contratar e executar a obra dentro de seu limite de capital social;</w:t>
      </w:r>
    </w:p>
    <w:p>
      <w:pPr>
        <w:pStyle w:val="Normal"/>
        <w:numPr>
          <w:ilvl w:val="1"/>
          <w:numId w:val="2"/>
        </w:numPr>
        <w:spacing w:before="0" w:after="360"/>
        <w:jc w:val="both"/>
        <w:rPr/>
      </w:pPr>
      <w:r>
        <w:rPr>
          <w:rFonts w:cs="Palatino Linotype" w:ascii="Palatino Linotype" w:hAnsi="Palatino Linotype"/>
          <w:color w:val="000000"/>
          <w:sz w:val="20"/>
          <w:szCs w:val="20"/>
        </w:rPr>
        <w:t>A contratada será responsável pela guarda, manutenção e integralidade da obra e serviços até a entrega final da obra;</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ou quando solicitado, a relação nominal dos empregados que adentrarão no órgão para a execução do serviço;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before="0" w:after="360"/>
        <w:jc w:val="both"/>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 interferência de um modo geral.</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before="0" w:after="360"/>
        <w:ind w:left="567" w:right="0" w:hanging="0"/>
        <w:jc w:val="both"/>
        <w:rPr>
          <w:rFonts w:ascii="Palatino Linotype" w:hAnsi="Palatino Linotype" w:cs="Palatino Linotype"/>
          <w:sz w:val="20"/>
        </w:rPr>
      </w:pPr>
      <w:bookmarkStart w:id="1" w:name="_Hlk491881345"/>
      <w:r>
        <w:rPr>
          <w:rFonts w:cs="Palatino Linotype" w:ascii="Palatino Linotype" w:hAnsi="Palatino Linotype"/>
          <w:sz w:val="20"/>
        </w:rPr>
        <w:t>Cópias autenticadas das notas fiscais de aquisição dos produtos ou subprodutos florestais;</w:t>
      </w:r>
      <w:bookmarkEnd w:id="1"/>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before="0" w:after="360"/>
        <w:jc w:val="both"/>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before="0" w:after="360"/>
        <w:jc w:val="both"/>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before="0" w:after="360"/>
        <w:jc w:val="both"/>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before="0" w:after="360"/>
        <w:jc w:val="both"/>
        <w:rPr/>
      </w:pPr>
      <w:r>
        <w:rPr>
          <w:rFonts w:cs="Palatino Linotype" w:ascii="Palatino Linotype" w:hAnsi="Palatino Linotype"/>
          <w:sz w:val="20"/>
        </w:rPr>
        <w:t>Os serviços serão medidos a cada 30 dias e serão precedidos de diário de Obras, Relatório Fotográfico, Relatório Geométrico e Geotécnico para cada serviço realizado ou material aplicado.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before="0" w:after="360"/>
        <w:jc w:val="both"/>
        <w:rPr>
          <w:rFonts w:ascii="Palatino Linotype" w:hAnsi="Palatino Linotype" w:cs="Palatino Linotype"/>
          <w:sz w:val="20"/>
          <w:szCs w:val="20"/>
          <w:lang w:bidi="zxx"/>
        </w:rPr>
      </w:pPr>
      <w:r>
        <w:rPr>
          <w:rFonts w:cs="Palatino Linotype" w:ascii="Palatino Linotype" w:hAnsi="Palatino Linotype"/>
          <w:sz w:val="20"/>
          <w:szCs w:val="20"/>
          <w:lang w:bidi="zxx"/>
        </w:rPr>
        <w:t>Será admitida a subcontratação PARCIAL do objeto licitatório;</w:t>
      </w:r>
    </w:p>
    <w:p>
      <w:pPr>
        <w:pStyle w:val="Normal"/>
        <w:numPr>
          <w:ilvl w:val="2"/>
          <w:numId w:val="2"/>
        </w:numPr>
        <w:spacing w:before="0" w:after="360"/>
        <w:ind w:left="567" w:right="0" w:hanging="0"/>
        <w:jc w:val="both"/>
        <w:rPr/>
      </w:pPr>
      <w:r>
        <w:rPr>
          <w:rFonts w:cs="Palatino Linotype" w:ascii="Palatino Linotype" w:hAnsi="Palatino Linotype"/>
          <w:sz w:val="20"/>
          <w:szCs w:val="20"/>
          <w:lang w:bidi="zxx"/>
        </w:rPr>
        <w:t>A subcontratação dependerá de autorização prévia da Contratante, a quem incumbe avaliar se a subcontratada cumpre os requisitos de qualificação técnica necessários para a execução do objeto</w:t>
      </w:r>
      <w:r>
        <w:rPr>
          <w:rFonts w:cs="Palatino Linotype" w:ascii="Palatino Linotype" w:hAnsi="Palatino Linotype"/>
          <w:sz w:val="20"/>
        </w:rPr>
        <w:t>;</w:t>
      </w:r>
    </w:p>
    <w:p>
      <w:pPr>
        <w:pStyle w:val="Normal"/>
        <w:numPr>
          <w:ilvl w:val="2"/>
          <w:numId w:val="2"/>
        </w:numPr>
        <w:spacing w:before="0" w:after="360"/>
        <w:ind w:left="567" w:right="0" w:hanging="0"/>
        <w:jc w:val="both"/>
        <w:rPr>
          <w:rFonts w:ascii="Palatino Linotype" w:hAnsi="Palatino Linotype" w:cs="Palatino Linotype"/>
          <w:sz w:val="20"/>
          <w:szCs w:val="20"/>
          <w:lang w:bidi="zxx"/>
        </w:rPr>
      </w:pPr>
      <w:r>
        <w:rPr>
          <w:rFonts w:cs="Palatino Linotype" w:ascii="Palatino Linotype" w:hAnsi="Palatino Linotype"/>
          <w:sz w:val="20"/>
          <w:szCs w:val="20"/>
          <w:lang w:bidi="zxx"/>
        </w:rPr>
        <w:t>Em qualquer hipótese de subcontratação, permanecerá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11 de junho</w:t>
      </w:r>
      <w:r>
        <w:rPr>
          <w:rFonts w:eastAsia="Arial Unicode MS" w:cs="Palatino Linotype" w:ascii="Palatino Linotype" w:hAnsi="Palatino Linotype"/>
          <w:sz w:val="20"/>
          <w:szCs w:val="20"/>
        </w:rPr>
        <w:t xml:space="preserve"> de 2019.</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Sandro Omena Santos</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Engenheiro Civil</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CREA N° 021129086-6</w:t>
      </w:r>
    </w:p>
    <w:p>
      <w:pPr>
        <w:pStyle w:val="Normal"/>
        <w:spacing w:before="0" w:after="360"/>
        <w:ind w:left="284" w:right="0" w:hanging="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r>
    </w:p>
    <w:p>
      <w:pPr>
        <w:pStyle w:val="Normal"/>
        <w:spacing w:before="0" w:after="0"/>
        <w:jc w:val="center"/>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pPr>
      <w:r>
        <w:rPr>
          <w:rFonts w:eastAsia="Arial Unicode MS" w:cs="Palatino Linotype" w:ascii="Palatino Linotype" w:hAnsi="Palatino Linotype"/>
          <w:b/>
          <w:sz w:val="20"/>
          <w:szCs w:val="20"/>
          <w:lang w:eastAsia="zxx"/>
        </w:rPr>
        <w:t>CAU Nº 188896-0</w:t>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2" wp14:anchorId="24600AC0">
              <wp:simplePos x="0" y="0"/>
              <wp:positionH relativeFrom="margin">
                <wp:posOffset>471170</wp:posOffset>
              </wp:positionH>
              <wp:positionV relativeFrom="paragraph">
                <wp:posOffset>93345</wp:posOffset>
              </wp:positionV>
              <wp:extent cx="4469765" cy="544830"/>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9040" cy="54432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5pt;height:42.8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8" wp14:anchorId="3FC3F800">
              <wp:simplePos x="0" y="0"/>
              <wp:positionH relativeFrom="margin">
                <wp:posOffset>4445</wp:posOffset>
              </wp:positionH>
              <wp:positionV relativeFrom="paragraph">
                <wp:posOffset>1270</wp:posOffset>
              </wp:positionV>
              <wp:extent cx="5955030" cy="36830"/>
              <wp:effectExtent l="0" t="0" r="3810" b="0"/>
              <wp:wrapNone/>
              <wp:docPr id="9" name="Retângulo 3"/>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8pt;height:2.8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3">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7" wp14:anchorId="2ADEE977">
              <wp:simplePos x="0" y="0"/>
              <wp:positionH relativeFrom="margin">
                <wp:align>right</wp:align>
              </wp:positionH>
              <wp:positionV relativeFrom="paragraph">
                <wp:posOffset>559435</wp:posOffset>
              </wp:positionV>
              <wp:extent cx="5955030" cy="36830"/>
              <wp:effectExtent l="0" t="0" r="3810" b="0"/>
              <wp:wrapNone/>
              <wp:docPr id="1" name="Retângulo 4"/>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5pt;margin-top:44.05pt;width:468.8pt;height:2.8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9" wp14:anchorId="58F215D8">
              <wp:simplePos x="0" y="0"/>
              <wp:positionH relativeFrom="margin">
                <wp:posOffset>2098675</wp:posOffset>
              </wp:positionH>
              <wp:positionV relativeFrom="paragraph">
                <wp:posOffset>67945</wp:posOffset>
              </wp:positionV>
              <wp:extent cx="3955415" cy="479425"/>
              <wp:effectExtent l="0" t="0" r="7620" b="0"/>
              <wp:wrapNone/>
              <wp:docPr id="2" name="Caixa de Texto 2"/>
              <a:graphic xmlns:a="http://schemas.openxmlformats.org/drawingml/2006/main">
                <a:graphicData uri="http://schemas.microsoft.com/office/word/2010/wordprocessingShape">
                  <wps:wsp>
                    <wps:cNvSpPr/>
                    <wps:spPr>
                      <a:xfrm>
                        <a:off x="0" y="0"/>
                        <a:ext cx="3954960" cy="47880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5pt;height:37.65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6">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4" wp14:anchorId="045FCB75">
              <wp:simplePos x="0" y="0"/>
              <wp:positionH relativeFrom="column">
                <wp:posOffset>5128260</wp:posOffset>
              </wp:positionH>
              <wp:positionV relativeFrom="paragraph">
                <wp:posOffset>8255635</wp:posOffset>
              </wp:positionV>
              <wp:extent cx="2802255" cy="853440"/>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520" cy="8528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5pt;margin-top:650.05pt;width:220.55pt;height:67.1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5" wp14:anchorId="48C966C4">
              <wp:simplePos x="0" y="0"/>
              <wp:positionH relativeFrom="column">
                <wp:posOffset>4484370</wp:posOffset>
              </wp:positionH>
              <wp:positionV relativeFrom="paragraph">
                <wp:posOffset>8029575</wp:posOffset>
              </wp:positionV>
              <wp:extent cx="3789680" cy="34290"/>
              <wp:effectExtent l="1640205" t="0" r="1630680" b="0"/>
              <wp:wrapNone/>
              <wp:docPr id="6" name="Retângulo 9"/>
              <a:graphic xmlns:a="http://schemas.openxmlformats.org/drawingml/2006/main">
                <a:graphicData uri="http://schemas.microsoft.com/office/word/2010/wordprocessingShape">
                  <wps:wsp>
                    <wps:cNvSpPr/>
                    <wps:spPr>
                      <a:xfrm rot="17874600">
                        <a:off x="0" y="0"/>
                        <a:ext cx="3789000" cy="334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25pt;width:298.3pt;height:2.6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character" w:styleId="ListLabel86">
    <w:name w:val="ListLabel 86"/>
    <w:qFormat/>
    <w:rPr>
      <w:rFonts w:ascii="Palatino Linotype" w:hAnsi="Palatino Linotype" w:eastAsia="Arial Unicode MS" w:cs="Palatino Linotype"/>
      <w:b/>
      <w:i w:val="false"/>
      <w:sz w:val="20"/>
      <w:szCs w:val="20"/>
    </w:rPr>
  </w:style>
  <w:style w:type="character" w:styleId="ListLabel87">
    <w:name w:val="ListLabel 87"/>
    <w:qFormat/>
    <w:rPr>
      <w:rFonts w:ascii="Palatino Linotype" w:hAnsi="Palatino Linotype" w:eastAsia="Arial Unicode MS" w:cs="Palatino Linotype"/>
      <w:b/>
      <w:i w:val="false"/>
      <w:sz w:val="20"/>
      <w:szCs w:val="20"/>
    </w:rPr>
  </w:style>
  <w:style w:type="character" w:styleId="ListLabel88">
    <w:name w:val="ListLabel 88"/>
    <w:qFormat/>
    <w:rPr>
      <w:rFonts w:ascii="Palatino Linotype" w:hAnsi="Palatino Linotype" w:eastAsia="Arial Unicode MS" w:cs="Palatino Linotype"/>
      <w:b/>
      <w:i w:val="false"/>
      <w:sz w:val="20"/>
      <w:szCs w:val="20"/>
    </w:rPr>
  </w:style>
  <w:style w:type="character" w:styleId="ListLabel89">
    <w:name w:val="ListLabel 89"/>
    <w:qFormat/>
    <w:rPr>
      <w:rFonts w:ascii="Palatino Linotype" w:hAnsi="Palatino Linotype" w:eastAsia="Arial Unicode MS" w:cs="Palatino Linotype"/>
      <w:b/>
      <w:i w:val="false"/>
      <w:sz w:val="20"/>
      <w:szCs w:val="20"/>
    </w:rPr>
  </w:style>
  <w:style w:type="character" w:styleId="ListLabel90">
    <w:name w:val="ListLabel 90"/>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340</TotalTime>
  <Application>LibreOffice/6.0.2.1$Windows_X86_64 LibreOffice_project/f7f06a8f319e4b62f9bc5095aa112a65d2f3ac89</Application>
  <Pages>11</Pages>
  <Words>3985</Words>
  <Characters>23645</Characters>
  <CharactersWithSpaces>27383</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2019-07-23T13:56:34Z</cp:lastPrinted>
  <dcterms:modified xsi:type="dcterms:W3CDTF">2019-07-23T14:00:29Z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